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590" w:lineRule="exact"/>
        <w:ind w:right="0"/>
        <w:jc w:val="center"/>
        <w:rPr>
          <w:rFonts w:hint="eastAsia" w:ascii="方正小标宋_GBK" w:hAnsi="方正小标宋_GBK" w:eastAsia="方正小标宋_GBK" w:cs="方正小标宋_GBK"/>
          <w:b/>
          <w:bCs/>
          <w:color w:val="000000"/>
          <w:kern w:val="2"/>
          <w:sz w:val="44"/>
          <w:szCs w:val="44"/>
          <w:lang w:val="en-US" w:eastAsia="zh-CN" w:bidi="ar"/>
        </w:rPr>
      </w:pPr>
    </w:p>
    <w:p>
      <w:pPr>
        <w:keepNext w:val="0"/>
        <w:keepLines w:val="0"/>
        <w:widowControl/>
        <w:suppressLineNumbers w:val="0"/>
        <w:spacing w:before="0" w:beforeAutospacing="1" w:after="0" w:afterAutospacing="1" w:line="590" w:lineRule="exact"/>
        <w:ind w:right="0"/>
        <w:jc w:val="center"/>
        <w:rPr>
          <w:rFonts w:hint="eastAsia" w:ascii="方正小标宋_GBK" w:hAnsi="方正小标宋_GBK" w:eastAsia="方正小标宋_GBK" w:cs="方正小标宋_GBK"/>
          <w:b/>
          <w:bCs/>
          <w:color w:val="000000"/>
          <w:kern w:val="2"/>
          <w:sz w:val="44"/>
          <w:szCs w:val="44"/>
          <w:lang w:val="en-US" w:eastAsia="zh-CN" w:bidi="ar"/>
        </w:rPr>
      </w:pPr>
      <w:r>
        <w:rPr>
          <w:rFonts w:hint="eastAsia" w:ascii="方正小标宋_GBK" w:hAnsi="方正小标宋_GBK" w:eastAsia="方正小标宋_GBK" w:cs="方正小标宋_GBK"/>
          <w:b/>
          <w:bCs/>
          <w:color w:val="000000"/>
          <w:kern w:val="2"/>
          <w:sz w:val="44"/>
          <w:szCs w:val="44"/>
          <w:lang w:val="en-US" w:eastAsia="zh-CN" w:bidi="ar"/>
        </w:rPr>
        <w:t>安徽省交通运输厅2022年政府信息公开工作年度报告</w:t>
      </w:r>
    </w:p>
    <w:p>
      <w:pPr>
        <w:keepNext w:val="0"/>
        <w:keepLines w:val="0"/>
        <w:widowControl/>
        <w:suppressLineNumbers w:val="0"/>
        <w:spacing w:before="0" w:beforeAutospacing="1" w:after="0" w:afterAutospacing="1" w:line="590" w:lineRule="exact"/>
        <w:ind w:left="0" w:righ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2"/>
          <w:sz w:val="32"/>
          <w:szCs w:val="32"/>
          <w:lang w:val="en-US" w:eastAsia="zh-CN" w:bidi="ar"/>
        </w:rPr>
        <w:t>本报告依据《中华人民共和国政府信息公开条例》（国务院令第711号）和</w:t>
      </w:r>
      <w:r>
        <w:rPr>
          <w:rFonts w:ascii="方正仿宋_GBK" w:hAnsi="方正仿宋_GBK" w:eastAsia="方正仿宋_GBK" w:cs="方正仿宋_GBK"/>
          <w:i w:val="0"/>
          <w:iCs w:val="0"/>
          <w:caps w:val="0"/>
          <w:color w:val="000000"/>
          <w:spacing w:val="8"/>
          <w:sz w:val="32"/>
          <w:szCs w:val="32"/>
          <w:bdr w:val="none" w:color="auto" w:sz="0" w:space="0"/>
          <w:shd w:val="clear" w:fill="FFFFFF"/>
        </w:rPr>
        <w:t>《国务院办公厅政府信息与政务公开办公室关于印发</w:t>
      </w:r>
      <w:r>
        <w:rPr>
          <w:rFonts w:hint="eastAsia" w:ascii="方正仿宋_GBK" w:hAnsi="方正仿宋_GBK" w:eastAsia="方正仿宋_GBK" w:cs="方正仿宋_GBK"/>
          <w:i w:val="0"/>
          <w:iCs w:val="0"/>
          <w:caps w:val="0"/>
          <w:color w:val="000000"/>
          <w:spacing w:val="8"/>
          <w:sz w:val="32"/>
          <w:szCs w:val="32"/>
          <w:bdr w:val="none" w:color="auto" w:sz="0" w:space="0"/>
          <w:shd w:val="clear" w:fill="FFFFFF"/>
        </w:rPr>
        <w:t>〈中华人民共和国政府信息公开工作年度报告格式〉的通知》（国办公开办函〔</w:t>
      </w:r>
      <w:r>
        <w:rPr>
          <w:rFonts w:hint="default" w:ascii="Times New Roman" w:hAnsi="Times New Roman" w:eastAsia="宋体" w:cs="Times New Roman"/>
          <w:i w:val="0"/>
          <w:iCs w:val="0"/>
          <w:caps w:val="0"/>
          <w:color w:val="000000"/>
          <w:spacing w:val="8"/>
          <w:sz w:val="32"/>
          <w:szCs w:val="32"/>
          <w:bdr w:val="none" w:color="auto" w:sz="0" w:space="0"/>
          <w:shd w:val="clear" w:fill="FFFFFF"/>
        </w:rPr>
        <w:t>2021</w:t>
      </w:r>
      <w:r>
        <w:rPr>
          <w:rFonts w:hint="eastAsia" w:ascii="方正仿宋_GBK" w:hAnsi="方正仿宋_GBK" w:eastAsia="方正仿宋_GBK" w:cs="方正仿宋_GBK"/>
          <w:i w:val="0"/>
          <w:iCs w:val="0"/>
          <w:caps w:val="0"/>
          <w:color w:val="000000"/>
          <w:spacing w:val="8"/>
          <w:sz w:val="32"/>
          <w:szCs w:val="32"/>
          <w:bdr w:val="none" w:color="auto" w:sz="0" w:space="0"/>
          <w:shd w:val="clear" w:fill="FFFFFF"/>
        </w:rPr>
        <w:t>〕</w:t>
      </w:r>
      <w:r>
        <w:rPr>
          <w:rFonts w:hint="default" w:ascii="Times New Roman" w:hAnsi="Times New Roman" w:eastAsia="宋体" w:cs="Times New Roman"/>
          <w:i w:val="0"/>
          <w:iCs w:val="0"/>
          <w:caps w:val="0"/>
          <w:color w:val="000000"/>
          <w:spacing w:val="8"/>
          <w:sz w:val="32"/>
          <w:szCs w:val="32"/>
          <w:bdr w:val="none" w:color="auto" w:sz="0" w:space="0"/>
          <w:shd w:val="clear" w:fill="FFFFFF"/>
        </w:rPr>
        <w:t>30</w:t>
      </w:r>
      <w:r>
        <w:rPr>
          <w:rFonts w:hint="eastAsia" w:ascii="方正仿宋_GBK" w:hAnsi="方正仿宋_GBK" w:eastAsia="方正仿宋_GBK" w:cs="方正仿宋_GBK"/>
          <w:i w:val="0"/>
          <w:iCs w:val="0"/>
          <w:caps w:val="0"/>
          <w:color w:val="000000"/>
          <w:spacing w:val="8"/>
          <w:sz w:val="32"/>
          <w:szCs w:val="32"/>
          <w:bdr w:val="none" w:color="auto" w:sz="0" w:space="0"/>
          <w:shd w:val="clear" w:fill="FFFFFF"/>
        </w:rPr>
        <w:t>号）</w:t>
      </w:r>
      <w:r>
        <w:rPr>
          <w:rFonts w:hint="eastAsia" w:ascii="方正仿宋_GBK" w:hAnsi="方正仿宋_GBK" w:eastAsia="方正仿宋_GBK" w:cs="方正仿宋_GBK"/>
          <w:color w:val="000000"/>
          <w:kern w:val="2"/>
          <w:sz w:val="32"/>
          <w:szCs w:val="32"/>
          <w:lang w:val="en-US" w:eastAsia="zh-CN" w:bidi="ar"/>
        </w:rPr>
        <w:t>要求，由省交通运输厅结合有关统计数据编制。全文包括总体情况、主动公开政府信息情况、收到和处理政府信息公开申请情况、因政府信息公开工作被申请行政复议和提起行政诉讼情况、政府信息公开工作存在的主要问题及改进情况、其他需要报告的事项。本年度报告的电子版可以从安徽省交通运输厅网站（jtt.ah.gov.cn）下载。本年度报告中所列数据的统计期限自2022年1月1日起至2022年12月31日止。</w:t>
      </w:r>
    </w:p>
    <w:p>
      <w:pPr>
        <w:keepNext w:val="0"/>
        <w:keepLines w:val="0"/>
        <w:widowControl/>
        <w:suppressLineNumbers w:val="0"/>
        <w:spacing w:before="0" w:beforeAutospacing="1" w:after="0" w:afterAutospacing="1" w:line="590" w:lineRule="exact"/>
        <w:ind w:left="0" w:right="0" w:firstLine="643"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color w:val="000000"/>
          <w:kern w:val="2"/>
          <w:sz w:val="32"/>
          <w:szCs w:val="32"/>
          <w:lang w:val="en-US" w:eastAsia="zh-CN" w:bidi="ar"/>
        </w:rPr>
        <w:t>一、总体情况</w:t>
      </w:r>
    </w:p>
    <w:p>
      <w:pPr>
        <w:keepNext w:val="0"/>
        <w:keepLines w:val="0"/>
        <w:widowControl/>
        <w:suppressLineNumbers w:val="0"/>
        <w:spacing w:before="0" w:beforeAutospacing="1" w:after="0" w:afterAutospacing="1" w:line="590" w:lineRule="exact"/>
        <w:ind w:left="0" w:right="0"/>
        <w:jc w:val="left"/>
      </w:pPr>
      <w:r>
        <w:rPr>
          <w:rFonts w:hint="eastAsia" w:ascii="宋体" w:hAnsi="宋体" w:eastAsia="宋体" w:cs="宋体"/>
          <w:color w:val="000000"/>
          <w:kern w:val="2"/>
          <w:sz w:val="24"/>
          <w:szCs w:val="24"/>
          <w:lang w:val="en-US" w:eastAsia="zh-CN" w:bidi="ar"/>
        </w:rPr>
        <w:t>　　</w:t>
      </w:r>
      <w:r>
        <w:rPr>
          <w:rFonts w:hint="eastAsia" w:ascii="方正仿宋_GBK" w:hAnsi="方正仿宋_GBK" w:eastAsia="方正仿宋_GBK" w:cs="方正仿宋_GBK"/>
          <w:color w:val="000000"/>
          <w:kern w:val="2"/>
          <w:sz w:val="32"/>
          <w:szCs w:val="32"/>
          <w:lang w:val="en-US" w:eastAsia="zh-CN" w:bidi="ar"/>
        </w:rPr>
        <w:t>2022年，省交通运输厅深入学习宣传贯彻党的二十大精神，严格贯彻执行《中华人民共和国政府信息公开条例》，在省政务公开办指导下，精心谋划推进交通运输领域基层政务公开和公共交通企事业单位信息公开两项牵头任务，建设标准化规范性文件专栏，持续强化主动公开发布监督保障，不断补足政策解读及互动回应开展短板，高质量完成依申请公开办理，在全年工作中不断总结与自我完善，扎实推进本部门政府信息公开工作。</w:t>
      </w:r>
    </w:p>
    <w:p>
      <w:pPr>
        <w:keepNext w:val="0"/>
        <w:keepLines w:val="0"/>
        <w:widowControl/>
        <w:suppressLineNumbers w:val="0"/>
        <w:spacing w:before="0" w:beforeAutospacing="1" w:after="0" w:afterAutospacing="1" w:line="590" w:lineRule="exact"/>
        <w:ind w:left="0" w:right="0" w:firstLine="643" w:firstLineChars="200"/>
        <w:jc w:val="left"/>
        <w:rPr>
          <w:rFonts w:hint="default"/>
          <w:lang w:val="en-US"/>
        </w:rPr>
      </w:pPr>
      <w:r>
        <w:rPr>
          <w:rFonts w:hint="eastAsia" w:ascii="方正楷体_GBK" w:hAnsi="方正楷体_GBK" w:eastAsia="方正楷体_GBK" w:cs="方正楷体_GBK"/>
          <w:b/>
          <w:bCs/>
          <w:color w:val="000000"/>
          <w:kern w:val="2"/>
          <w:sz w:val="32"/>
          <w:szCs w:val="32"/>
          <w:lang w:val="en-US" w:eastAsia="zh-CN" w:bidi="ar"/>
        </w:rPr>
        <w:t>（一）主动公开。</w:t>
      </w:r>
      <w:r>
        <w:rPr>
          <w:rFonts w:hint="eastAsia" w:ascii="方正仿宋_GBK" w:hAnsi="方正仿宋_GBK" w:eastAsia="方正仿宋_GBK" w:cs="方正仿宋_GBK"/>
          <w:color w:val="000000"/>
          <w:kern w:val="2"/>
          <w:sz w:val="32"/>
          <w:szCs w:val="32"/>
          <w:lang w:val="en-US" w:eastAsia="zh-CN" w:bidi="ar"/>
        </w:rPr>
        <w:t>根据</w:t>
      </w:r>
      <w:r>
        <w:rPr>
          <w:rFonts w:hint="default" w:ascii="方正仿宋_GBK" w:hAnsi="方正仿宋_GBK" w:eastAsia="方正仿宋_GBK" w:cs="方正仿宋_GBK"/>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fldChar w:fldCharType="begin"/>
      </w:r>
      <w:r>
        <w:rPr>
          <w:rFonts w:hint="eastAsia" w:ascii="方正仿宋_GBK" w:hAnsi="方正仿宋_GBK" w:eastAsia="方正仿宋_GBK" w:cs="方正仿宋_GBK"/>
          <w:color w:val="000000"/>
          <w:kern w:val="2"/>
          <w:sz w:val="32"/>
          <w:szCs w:val="32"/>
          <w:lang w:val="en-US" w:eastAsia="zh-CN" w:bidi="ar"/>
        </w:rPr>
        <w:instrText xml:space="preserve"> HYPERLINK "https://jtt.ah.gov.cn/public/21701/121015321.html" \t "https://jtt.ah.gov.cn/public/column/_blank" </w:instrText>
      </w:r>
      <w:r>
        <w:rPr>
          <w:rFonts w:hint="eastAsia" w:ascii="方正仿宋_GBK" w:hAnsi="方正仿宋_GBK" w:eastAsia="方正仿宋_GBK" w:cs="方正仿宋_GBK"/>
          <w:color w:val="000000"/>
          <w:kern w:val="2"/>
          <w:sz w:val="32"/>
          <w:szCs w:val="32"/>
          <w:lang w:val="en-US" w:eastAsia="zh-CN" w:bidi="ar"/>
        </w:rPr>
        <w:fldChar w:fldCharType="separate"/>
      </w:r>
      <w:r>
        <w:rPr>
          <w:rFonts w:hint="eastAsia" w:ascii="方正仿宋_GBK" w:hAnsi="方正仿宋_GBK" w:eastAsia="方正仿宋_GBK" w:cs="方正仿宋_GBK"/>
          <w:color w:val="000000"/>
          <w:kern w:val="2"/>
          <w:sz w:val="32"/>
          <w:szCs w:val="32"/>
          <w:lang w:val="en-US" w:eastAsia="zh-CN" w:bidi="ar"/>
        </w:rPr>
        <w:t>安徽省交通运输厅关于印发2022年政务公开重点工作任务分工的通知</w:t>
      </w:r>
      <w:r>
        <w:rPr>
          <w:rFonts w:hint="eastAsia" w:ascii="方正仿宋_GBK" w:hAnsi="方正仿宋_GBK" w:eastAsia="方正仿宋_GBK" w:cs="方正仿宋_GBK"/>
          <w:color w:val="000000"/>
          <w:kern w:val="2"/>
          <w:sz w:val="32"/>
          <w:szCs w:val="32"/>
          <w:lang w:val="en-US" w:eastAsia="zh-CN" w:bidi="ar"/>
        </w:rPr>
        <w:fldChar w:fldCharType="end"/>
      </w:r>
      <w:r>
        <w:rPr>
          <w:rFonts w:hint="eastAsia" w:ascii="方正仿宋_GBK" w:hAnsi="方正仿宋_GBK" w:eastAsia="方正仿宋_GBK" w:cs="方正仿宋_GBK"/>
          <w:color w:val="000000"/>
          <w:kern w:val="2"/>
          <w:sz w:val="32"/>
          <w:szCs w:val="32"/>
          <w:lang w:val="en-US" w:eastAsia="zh-CN" w:bidi="ar"/>
        </w:rPr>
        <w:t> </w:t>
      </w:r>
      <w:r>
        <w:rPr>
          <w:rFonts w:hint="default" w:ascii="方正仿宋_GBK" w:hAnsi="方正仿宋_GBK" w:eastAsia="方正仿宋_GBK" w:cs="方正仿宋_GBK"/>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安排，积极推进全省交通运输领域基层政务公开及公共交通企事业单位信息公开两项牵头重点任务落实，完成安徽省交通运输领域基层政务公开事项指引目录及安徽省公共交通企事业单位信息公开标准化规范化工作指引印发，按计划持续推进全省公开实施与测评提升工作。加大疫情防控、物流保通保畅、助企纾困政策宣传与解读，助力经济复苏。持续补全政策解读短板，加大图解、媒体解读比例，丰富解读形式。2022年度共发布主动公开信息</w:t>
      </w:r>
      <w:r>
        <w:rPr>
          <w:rFonts w:hint="default" w:ascii="方正仿宋_GBK" w:hAnsi="方正仿宋_GBK" w:eastAsia="方正仿宋_GBK" w:cs="方正仿宋_GBK"/>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578条。</w:t>
      </w:r>
    </w:p>
    <w:p>
      <w:pPr>
        <w:keepNext w:val="0"/>
        <w:keepLines w:val="0"/>
        <w:widowControl/>
        <w:suppressLineNumbers w:val="0"/>
        <w:spacing w:before="0" w:beforeAutospacing="1" w:after="0" w:afterAutospacing="1" w:line="590" w:lineRule="exact"/>
        <w:ind w:left="0" w:right="0" w:firstLine="643" w:firstLineChars="200"/>
        <w:jc w:val="left"/>
        <w:rPr>
          <w:rFonts w:hint="default" w:ascii="方正仿宋_GBK" w:hAnsi="方正仿宋_GBK" w:eastAsia="方正仿宋_GBK" w:cs="方正仿宋_GBK"/>
          <w:color w:val="000000"/>
          <w:kern w:val="2"/>
          <w:sz w:val="32"/>
          <w:szCs w:val="32"/>
          <w:lang w:val="en-US" w:eastAsia="zh-CN" w:bidi="ar"/>
        </w:rPr>
      </w:pPr>
      <w:r>
        <w:rPr>
          <w:rFonts w:hint="eastAsia" w:ascii="方正楷体_GBK" w:hAnsi="方正楷体_GBK" w:eastAsia="方正楷体_GBK" w:cs="方正楷体_GBK"/>
          <w:b/>
          <w:bCs/>
          <w:color w:val="000000"/>
          <w:kern w:val="2"/>
          <w:sz w:val="32"/>
          <w:szCs w:val="32"/>
          <w:lang w:val="en-US" w:eastAsia="zh-CN" w:bidi="ar"/>
        </w:rPr>
        <w:t>（二）依申请公开。</w:t>
      </w:r>
      <w:r>
        <w:rPr>
          <w:rFonts w:hint="eastAsia" w:ascii="方正仿宋_GBK" w:hAnsi="方正仿宋_GBK" w:eastAsia="方正仿宋_GBK" w:cs="方正仿宋_GBK"/>
          <w:color w:val="000000"/>
          <w:kern w:val="2"/>
          <w:sz w:val="32"/>
          <w:szCs w:val="32"/>
          <w:lang w:val="en-US" w:eastAsia="zh-CN" w:bidi="ar"/>
        </w:rPr>
        <w:t>持续优化依申请公开办理流程，将办理全过程纳入督察督办体系，着力提升办理效率，2022年省交通运输厅共受理依申请公开</w:t>
      </w:r>
      <w:r>
        <w:rPr>
          <w:rFonts w:hint="eastAsia" w:ascii="方正仿宋_GBK" w:hAnsi="方正仿宋_GBK" w:eastAsia="方正仿宋_GBK" w:cs="方正仿宋_GBK"/>
          <w:color w:val="000000" w:themeColor="text1"/>
          <w:kern w:val="2"/>
          <w:sz w:val="32"/>
          <w:szCs w:val="32"/>
          <w:lang w:val="en-US" w:eastAsia="zh-CN" w:bidi="ar"/>
          <w14:textFill>
            <w14:solidFill>
              <w14:schemeClr w14:val="tx1"/>
            </w14:solidFill>
          </w14:textFill>
        </w:rPr>
        <w:t>47</w:t>
      </w:r>
      <w:r>
        <w:rPr>
          <w:rFonts w:hint="eastAsia" w:ascii="方正仿宋_GBK" w:hAnsi="方正仿宋_GBK" w:eastAsia="方正仿宋_GBK" w:cs="方正仿宋_GBK"/>
          <w:color w:val="000000"/>
          <w:kern w:val="2"/>
          <w:sz w:val="32"/>
          <w:szCs w:val="32"/>
          <w:lang w:val="en-US" w:eastAsia="zh-CN" w:bidi="ar"/>
        </w:rPr>
        <w:t>件，全部按时高质量回复。加大依申请公开办理协调机制，多部门会商，从合法性审查、保密性审查、内容安全等多维度保障依申请公开答复质量，防范化解各类内容安全风险。</w:t>
      </w:r>
    </w:p>
    <w:p>
      <w:pPr>
        <w:keepNext w:val="0"/>
        <w:keepLines w:val="0"/>
        <w:widowControl/>
        <w:suppressLineNumbers w:val="0"/>
        <w:spacing w:before="0" w:beforeAutospacing="1" w:after="0" w:afterAutospacing="1" w:line="590" w:lineRule="exact"/>
        <w:ind w:left="0" w:right="0" w:firstLine="643" w:firstLineChars="200"/>
        <w:jc w:val="left"/>
        <w:rPr>
          <w:rFonts w:hint="default" w:ascii="方正仿宋_GBK" w:hAnsi="方正仿宋_GBK" w:eastAsia="方正仿宋_GBK" w:cs="方正仿宋_GBK"/>
          <w:b w:val="0"/>
          <w:bCs w:val="0"/>
          <w:color w:val="000000"/>
          <w:kern w:val="2"/>
          <w:sz w:val="32"/>
          <w:szCs w:val="32"/>
          <w:lang w:val="en-US" w:eastAsia="zh-CN" w:bidi="ar"/>
        </w:rPr>
      </w:pPr>
      <w:r>
        <w:rPr>
          <w:rFonts w:hint="eastAsia" w:ascii="方正楷体_GBK" w:hAnsi="方正楷体_GBK" w:eastAsia="方正楷体_GBK" w:cs="方正楷体_GBK"/>
          <w:b/>
          <w:bCs/>
          <w:color w:val="000000"/>
          <w:kern w:val="2"/>
          <w:sz w:val="32"/>
          <w:szCs w:val="32"/>
          <w:lang w:val="en-US" w:eastAsia="zh-CN" w:bidi="ar"/>
        </w:rPr>
        <w:t>（三）政府信息管理。</w:t>
      </w:r>
      <w:r>
        <w:rPr>
          <w:rFonts w:hint="eastAsia" w:ascii="方正仿宋_GBK" w:hAnsi="方正仿宋_GBK" w:eastAsia="方正仿宋_GBK" w:cs="方正仿宋_GBK"/>
          <w:color w:val="000000"/>
          <w:kern w:val="2"/>
          <w:sz w:val="32"/>
          <w:szCs w:val="32"/>
          <w:lang w:val="en-US" w:eastAsia="zh-CN" w:bidi="ar"/>
        </w:rPr>
        <w:t>严格按照《安徽省政务公开办公室关于做好行政规范性文件集中公开工作的通知》要求，建设规范性文件专栏，统一规范性文件发布格式文本，统一规范性文件下载方式，汇总整理废止时效规范性文件并公示，保障行政规范性文件严谨性。补全文号、日期、关键字等要素，同步编发配套解读信息，便利公众查询使用，提升政策易得性与可读性。</w:t>
      </w:r>
      <w:r>
        <w:rPr>
          <w:rFonts w:hint="eastAsia" w:ascii="方正仿宋_GBK" w:hAnsi="方正仿宋_GBK" w:eastAsia="方正仿宋_GBK" w:cs="方正仿宋_GBK"/>
          <w:b w:val="0"/>
          <w:bCs w:val="0"/>
          <w:color w:val="000000"/>
          <w:kern w:val="2"/>
          <w:sz w:val="32"/>
          <w:szCs w:val="32"/>
          <w:lang w:val="en-US" w:eastAsia="zh-CN" w:bidi="ar"/>
        </w:rPr>
        <w:t>按月发布交通投资与交通运输统计数据</w:t>
      </w:r>
      <w:r>
        <w:rPr>
          <w:rFonts w:hint="eastAsia" w:ascii="方正仿宋_GBK" w:hAnsi="方正仿宋_GBK" w:eastAsia="方正仿宋_GBK" w:cs="方正仿宋_GBK"/>
          <w:color w:val="000000"/>
          <w:kern w:val="2"/>
          <w:sz w:val="32"/>
          <w:szCs w:val="32"/>
          <w:lang w:val="en-US" w:eastAsia="zh-CN" w:bidi="ar"/>
        </w:rPr>
        <w:t>，助力交通经济高质量发展。</w:t>
      </w:r>
      <w:r>
        <w:rPr>
          <w:rFonts w:hint="eastAsia" w:ascii="方正仿宋_GBK" w:hAnsi="方正仿宋_GBK" w:eastAsia="方正仿宋_GBK" w:cs="方正仿宋_GBK"/>
          <w:b w:val="0"/>
          <w:bCs w:val="0"/>
          <w:color w:val="000000"/>
          <w:kern w:val="2"/>
          <w:sz w:val="32"/>
          <w:szCs w:val="32"/>
          <w:lang w:val="en-US" w:eastAsia="zh-CN" w:bidi="ar"/>
        </w:rPr>
        <w:t>按月发布行政权力运行结果信息，建设“物流保通保畅”与“涉企违规收费专项整治”专栏，助企纾困，</w:t>
      </w:r>
      <w:r>
        <w:rPr>
          <w:rFonts w:hint="eastAsia" w:ascii="方正仿宋_GBK" w:hAnsi="方正仿宋_GBK" w:eastAsia="方正仿宋_GBK" w:cs="方正仿宋_GBK"/>
          <w:color w:val="000000"/>
          <w:kern w:val="2"/>
          <w:sz w:val="32"/>
          <w:szCs w:val="32"/>
          <w:lang w:val="en-US" w:eastAsia="zh-CN" w:bidi="ar"/>
        </w:rPr>
        <w:t>服务交通运输领域实体经济发展</w:t>
      </w:r>
      <w:r>
        <w:rPr>
          <w:rFonts w:hint="eastAsia" w:ascii="方正仿宋_GBK" w:hAnsi="方正仿宋_GBK" w:eastAsia="方正仿宋_GBK" w:cs="方正仿宋_GBK"/>
          <w:b w:val="0"/>
          <w:bCs w:val="0"/>
          <w:color w:val="000000"/>
          <w:kern w:val="2"/>
          <w:sz w:val="32"/>
          <w:szCs w:val="32"/>
          <w:lang w:val="en-US" w:eastAsia="zh-CN" w:bidi="ar"/>
        </w:rPr>
        <w:t>。</w:t>
      </w:r>
    </w:p>
    <w:p>
      <w:pPr>
        <w:keepNext w:val="0"/>
        <w:keepLines w:val="0"/>
        <w:widowControl/>
        <w:suppressLineNumbers w:val="0"/>
        <w:spacing w:before="0" w:beforeAutospacing="1" w:after="0" w:afterAutospacing="1" w:line="600" w:lineRule="exact"/>
        <w:ind w:left="0" w:right="0" w:firstLine="643" w:firstLineChars="200"/>
        <w:jc w:val="left"/>
        <w:rPr>
          <w:rFonts w:hint="default" w:ascii="方正仿宋_GBK" w:hAnsi="方正仿宋_GBK" w:eastAsia="方正仿宋_GBK" w:cs="方正仿宋_GBK"/>
          <w:color w:val="000000"/>
          <w:kern w:val="2"/>
          <w:sz w:val="32"/>
          <w:szCs w:val="32"/>
          <w:lang w:val="en-US" w:eastAsia="zh-CN" w:bidi="ar"/>
        </w:rPr>
      </w:pPr>
      <w:r>
        <w:rPr>
          <w:rFonts w:hint="eastAsia" w:ascii="方正楷体_GBK" w:hAnsi="方正楷体_GBK" w:eastAsia="方正楷体_GBK" w:cs="方正楷体_GBK"/>
          <w:b/>
          <w:bCs/>
          <w:color w:val="000000"/>
          <w:kern w:val="2"/>
          <w:sz w:val="32"/>
          <w:szCs w:val="32"/>
          <w:lang w:val="en-US" w:eastAsia="zh-CN" w:bidi="ar"/>
        </w:rPr>
        <w:t>（四）公开平台建设。</w:t>
      </w:r>
      <w:r>
        <w:rPr>
          <w:rFonts w:hint="eastAsia" w:ascii="方正仿宋_GBK" w:hAnsi="方正仿宋_GBK" w:eastAsia="方正仿宋_GBK" w:cs="方正仿宋_GBK"/>
          <w:color w:val="000000"/>
          <w:kern w:val="2"/>
          <w:sz w:val="32"/>
          <w:szCs w:val="32"/>
          <w:lang w:val="en-US" w:eastAsia="zh-CN" w:bidi="ar"/>
        </w:rPr>
        <w:t>优化公开平台检索功能，提升专栏使用便利性。实现线上依申请公开自动导入督查督办系统办理，提升办理效率。实现办公系统与专栏数据互通，做到主动公开定时推送，避免迟发漏发，保障公开时效。建立“交通运输领域基层政务公开及公共交通企事业单位信息公开”栏目，助力推进基层及企业信息公开。</w:t>
      </w:r>
    </w:p>
    <w:p>
      <w:pPr>
        <w:keepNext w:val="0"/>
        <w:keepLines w:val="0"/>
        <w:widowControl/>
        <w:suppressLineNumbers w:val="0"/>
        <w:spacing w:before="0" w:beforeAutospacing="1" w:after="0" w:afterAutospacing="1" w:line="600" w:lineRule="exact"/>
        <w:ind w:left="0" w:right="0" w:firstLine="643" w:firstLineChars="200"/>
        <w:jc w:val="left"/>
        <w:rPr>
          <w:rFonts w:hint="eastAsia" w:ascii="方正黑体_GBK" w:hAnsi="方正黑体_GBK" w:eastAsia="方正黑体_GBK" w:cs="方正黑体_GBK"/>
          <w:b/>
          <w:bCs/>
          <w:color w:val="000000" w:themeColor="text1"/>
          <w:kern w:val="2"/>
          <w:sz w:val="32"/>
          <w:szCs w:val="32"/>
          <w:lang w:val="en-US" w:eastAsia="zh-CN" w:bidi="ar"/>
          <w14:textFill>
            <w14:solidFill>
              <w14:schemeClr w14:val="tx1"/>
            </w14:solidFill>
          </w14:textFill>
        </w:rPr>
      </w:pPr>
      <w:r>
        <w:rPr>
          <w:rFonts w:hint="eastAsia" w:ascii="方正楷体_GBK" w:hAnsi="方正楷体_GBK" w:eastAsia="方正楷体_GBK" w:cs="方正楷体_GBK"/>
          <w:b/>
          <w:bCs/>
          <w:color w:val="000000"/>
          <w:kern w:val="2"/>
          <w:sz w:val="32"/>
          <w:szCs w:val="32"/>
          <w:lang w:val="en-US" w:eastAsia="zh-CN" w:bidi="ar"/>
        </w:rPr>
        <w:t>（五）监督保障。</w:t>
      </w:r>
      <w:r>
        <w:rPr>
          <w:rFonts w:hint="eastAsia" w:ascii="方正仿宋_GBK" w:hAnsi="方正仿宋_GBK" w:eastAsia="方正仿宋_GBK" w:cs="方正仿宋_GBK"/>
          <w:color w:val="000000"/>
          <w:kern w:val="2"/>
          <w:sz w:val="32"/>
          <w:szCs w:val="32"/>
          <w:lang w:val="en-US" w:eastAsia="zh-CN" w:bidi="ar"/>
        </w:rPr>
        <w:t>强化组织领导，及时部署省政务公开办重点工作任务，精心谋划，合理安排，定期组织工作推进会，确保高质量完成牵头任务。持续监测整改，迅速响应省政务公开版季度评测问题清单反馈，定期总结整改问题，做到举一反三，将问题带到日常主动公开过程中去，力求整改问题不反弹，整改过程常态化。加大内容安全监测力度，重点加强涉密、个人隐私、表述问题排查，杜绝网络信息安全隐患。</w:t>
      </w:r>
      <w:r>
        <w:rPr>
          <w:rFonts w:hint="eastAsia" w:ascii="方正仿宋_GBK" w:hAnsi="方正仿宋_GBK" w:eastAsia="方正仿宋_GBK" w:cs="方正仿宋_GBK"/>
          <w:b w:val="0"/>
          <w:bCs w:val="0"/>
          <w:color w:val="000000"/>
          <w:kern w:val="2"/>
          <w:sz w:val="32"/>
          <w:szCs w:val="32"/>
          <w:lang w:val="en-US" w:eastAsia="zh-CN" w:bidi="ar"/>
        </w:rPr>
        <w:t>规范征集活动开展</w:t>
      </w:r>
      <w:r>
        <w:rPr>
          <w:rFonts w:hint="eastAsia" w:ascii="方正仿宋_GBK" w:hAnsi="方正仿宋_GBK" w:eastAsia="方正仿宋_GBK" w:cs="方正仿宋_GBK"/>
          <w:color w:val="000000"/>
          <w:kern w:val="2"/>
          <w:sz w:val="32"/>
          <w:szCs w:val="32"/>
          <w:lang w:val="en-US" w:eastAsia="zh-CN" w:bidi="ar"/>
        </w:rPr>
        <w:t>，落实互动开展制度，确保活动持续时间，定期反馈征集结果。</w:t>
      </w:r>
    </w:p>
    <w:p>
      <w:pPr>
        <w:keepNext w:val="0"/>
        <w:keepLines w:val="0"/>
        <w:widowControl/>
        <w:numPr>
          <w:ilvl w:val="0"/>
          <w:numId w:val="0"/>
        </w:numPr>
        <w:suppressLineNumbers w:val="0"/>
        <w:spacing w:before="0" w:beforeAutospacing="1" w:after="0" w:afterAutospacing="1" w:line="590" w:lineRule="exact"/>
        <w:ind w:left="0" w:right="0" w:firstLine="643" w:firstLineChars="200"/>
        <w:jc w:val="left"/>
      </w:pPr>
      <w:r>
        <w:rPr>
          <w:rFonts w:hint="eastAsia" w:ascii="方正黑体_GBK" w:hAnsi="方正黑体_GBK" w:eastAsia="方正黑体_GBK" w:cs="方正黑体_GBK"/>
          <w:b/>
          <w:bCs/>
          <w:color w:val="000000" w:themeColor="text1"/>
          <w:kern w:val="2"/>
          <w:sz w:val="32"/>
          <w:szCs w:val="32"/>
          <w:lang w:val="en-US" w:eastAsia="zh-CN" w:bidi="ar"/>
          <w14:textFill>
            <w14:solidFill>
              <w14:schemeClr w14:val="tx1"/>
            </w14:solidFill>
          </w14:textFill>
        </w:rPr>
        <w:t>二、主动公开政府信息情况</w:t>
      </w:r>
      <w:r>
        <w:rPr>
          <w:rFonts w:hint="eastAsia" w:ascii="宋体" w:hAnsi="宋体" w:eastAsia="宋体" w:cs="宋体"/>
          <w:i w:val="0"/>
          <w:iCs w:val="0"/>
          <w:caps w:val="0"/>
          <w:color w:val="000000"/>
          <w:spacing w:val="0"/>
          <w:kern w:val="2"/>
          <w:sz w:val="24"/>
          <w:szCs w:val="24"/>
          <w:shd w:val="clear" w:fill="FFFFFF"/>
          <w:lang w:val="en-US" w:eastAsia="zh-CN" w:bidi="ar"/>
        </w:rPr>
        <w:t xml:space="preserve"> </w:t>
      </w:r>
    </w:p>
    <w:tbl>
      <w:tblPr>
        <w:tblStyle w:val="2"/>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themeColor="text1"/>
                <w:kern w:val="0"/>
                <w:sz w:val="20"/>
                <w:szCs w:val="20"/>
                <w:lang w:val="en-US" w:eastAsia="zh-CN" w:bidi="ar"/>
                <w14:textFill>
                  <w14:solidFill>
                    <w14:schemeClr w14:val="tx1"/>
                  </w14:solidFill>
                </w14:textFill>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7"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eastAsia"/>
                <w:lang w:val="en-US" w:eastAsia="zh-CN"/>
              </w:rPr>
              <w:t>3</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eastAsia"/>
                <w:lang w:val="en-US" w:eastAsia="zh-CN"/>
              </w:rPr>
              <w:t>13</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eastAsia"/>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themeColor="text1"/>
                <w:kern w:val="0"/>
                <w:sz w:val="20"/>
                <w:szCs w:val="20"/>
                <w:lang w:val="en-US" w:eastAsia="zh-CN" w:bidi="ar"/>
                <w14:textFill>
                  <w14:solidFill>
                    <w14:schemeClr w14:val="tx1"/>
                  </w14:solidFill>
                </w14:textFill>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eastAsia"/>
                <w:lang w:val="en-US" w:eastAsia="zh-CN"/>
              </w:rPr>
            </w:pPr>
            <w:r>
              <w:rPr>
                <w:rFonts w:hint="eastAsia"/>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eastAsia"/>
                <w:lang w:val="en-US" w:eastAsia="zh-CN"/>
              </w:rPr>
            </w:pPr>
            <w:r>
              <w:rPr>
                <w:rFonts w:hint="eastAsia"/>
                <w:lang w:val="en-US" w:eastAsia="zh-CN"/>
              </w:rPr>
              <w:t>225101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themeColor="text1"/>
                <w:kern w:val="0"/>
                <w:sz w:val="20"/>
                <w:szCs w:val="20"/>
                <w:lang w:val="en-US" w:eastAsia="zh-CN" w:bidi="ar"/>
                <w14:textFill>
                  <w14:solidFill>
                    <w14:schemeClr w14:val="tx1"/>
                  </w14:solidFill>
                </w14:textFill>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eastAsiaTheme="minorEastAsia"/>
                <w:lang w:val="en-US" w:eastAsia="zh-CN"/>
              </w:rPr>
            </w:pPr>
            <w:r>
              <w:rPr>
                <w:rFonts w:hint="eastAsia"/>
                <w:lang w:val="en-US" w:eastAsia="zh-CN"/>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themeColor="text1"/>
                <w:kern w:val="0"/>
                <w:sz w:val="20"/>
                <w:szCs w:val="20"/>
                <w:lang w:val="en-US" w:eastAsia="zh-CN" w:bidi="ar"/>
                <w14:textFill>
                  <w14:solidFill>
                    <w14:schemeClr w14:val="tx1"/>
                  </w14:solidFill>
                </w14:textFill>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spacing w:before="0" w:beforeAutospacing="1" w:after="0" w:afterAutospacing="1"/>
              <w:ind w:left="0" w:right="0"/>
              <w:jc w:val="center"/>
              <w:rPr>
                <w:rFonts w:hint="default" w:eastAsiaTheme="minorEastAsia"/>
                <w:lang w:val="en-US" w:eastAsia="zh-CN"/>
              </w:rPr>
            </w:pPr>
            <w:r>
              <w:rPr>
                <w:rFonts w:hint="eastAsia"/>
                <w:lang w:val="en-US" w:eastAsia="zh-CN"/>
              </w:rPr>
              <w:t>22.39</w:t>
            </w:r>
          </w:p>
        </w:tc>
      </w:tr>
    </w:tbl>
    <w:p>
      <w:pPr>
        <w:keepNext w:val="0"/>
        <w:keepLines w:val="0"/>
        <w:widowControl/>
        <w:numPr>
          <w:ilvl w:val="0"/>
          <w:numId w:val="1"/>
        </w:numPr>
        <w:suppressLineNumbers w:val="0"/>
        <w:spacing w:before="0" w:beforeAutospacing="1" w:after="0" w:afterAutospacing="1" w:line="590" w:lineRule="exact"/>
        <w:ind w:right="0"/>
        <w:jc w:val="left"/>
        <w:rPr>
          <w:rFonts w:hint="eastAsia" w:ascii="方正黑体_GBK" w:hAnsi="方正黑体_GBK" w:eastAsia="方正黑体_GBK" w:cs="方正黑体_GBK"/>
          <w:color w:val="000000"/>
          <w:kern w:val="2"/>
          <w:sz w:val="32"/>
          <w:szCs w:val="32"/>
          <w:lang w:val="en-US" w:eastAsia="zh-CN" w:bidi="ar"/>
        </w:rPr>
      </w:pPr>
      <w:r>
        <w:rPr>
          <w:rFonts w:hint="eastAsia" w:ascii="方正黑体_GBK" w:hAnsi="方正黑体_GBK" w:eastAsia="方正黑体_GBK" w:cs="方正黑体_GBK"/>
          <w:b/>
          <w:bCs/>
          <w:color w:val="000000"/>
          <w:kern w:val="2"/>
          <w:sz w:val="32"/>
          <w:szCs w:val="32"/>
          <w:lang w:val="en-US" w:eastAsia="zh-CN" w:bidi="ar"/>
        </w:rPr>
        <w:t>收到和处理政府信息公开申请情况</w:t>
      </w:r>
      <w:r>
        <w:rPr>
          <w:rFonts w:hint="eastAsia" w:ascii="方正黑体_GBK" w:hAnsi="方正黑体_GBK" w:eastAsia="方正黑体_GBK" w:cs="方正黑体_GBK"/>
          <w:color w:val="000000"/>
          <w:kern w:val="2"/>
          <w:sz w:val="32"/>
          <w:szCs w:val="32"/>
          <w:lang w:val="en-US" w:eastAsia="zh-CN" w:bidi="ar"/>
        </w:rPr>
        <w:t xml:space="preserve"> </w:t>
      </w:r>
    </w:p>
    <w:tbl>
      <w:tblPr>
        <w:tblStyle w:val="2"/>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7"/>
        <w:gridCol w:w="943"/>
        <w:gridCol w:w="3219"/>
        <w:gridCol w:w="689"/>
        <w:gridCol w:w="688"/>
        <w:gridCol w:w="688"/>
        <w:gridCol w:w="688"/>
        <w:gridCol w:w="688"/>
        <w:gridCol w:w="688"/>
        <w:gridCol w:w="6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ascii="楷体" w:hAnsi="楷体" w:eastAsia="楷体" w:cs="楷体"/>
                <w:i w:val="0"/>
                <w:iCs w:val="0"/>
                <w:caps w:val="0"/>
                <w:color w:val="000000"/>
                <w:spacing w:val="0"/>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714" w:type="dxa"/>
            <w:vMerge w:val="restart"/>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714" w:type="dxa"/>
            <w:vMerge w:val="continue"/>
            <w:tcBorders>
              <w:top w:val="nil"/>
              <w:left w:val="nil"/>
              <w:bottom w:val="single"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商业</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企业</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科研</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000000"/>
                <w:spacing w:val="0"/>
                <w:kern w:val="0"/>
                <w:sz w:val="20"/>
                <w:szCs w:val="20"/>
                <w:lang w:val="en-US" w:eastAsia="zh-CN" w:bidi="ar"/>
              </w:rPr>
              <w:t>46</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1</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000000"/>
                <w:spacing w:val="0"/>
                <w:kern w:val="0"/>
                <w:sz w:val="20"/>
                <w:szCs w:val="20"/>
                <w:lang w:val="en-US" w:eastAsia="zh-CN" w:bidi="ar"/>
              </w:rPr>
              <w:t>47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（一）予以公开</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000000"/>
                <w:spacing w:val="0"/>
                <w:kern w:val="0"/>
                <w:sz w:val="20"/>
                <w:szCs w:val="20"/>
                <w:lang w:val="en-US" w:eastAsia="zh-CN" w:bidi="ar"/>
              </w:rPr>
              <w:t>23</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000000"/>
                <w:spacing w:val="0"/>
                <w:kern w:val="0"/>
                <w:sz w:val="20"/>
                <w:szCs w:val="20"/>
                <w:lang w:val="en-US" w:eastAsia="zh-CN" w:bidi="ar"/>
              </w:rPr>
              <w:t>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（二）部分公开</w:t>
            </w:r>
            <w:r>
              <w:rPr>
                <w:rFonts w:hint="eastAsia" w:ascii="楷体" w:hAnsi="楷体" w:eastAsia="楷体" w:cs="楷体"/>
                <w:i w:val="0"/>
                <w:iCs w:val="0"/>
                <w:caps w:val="0"/>
                <w:color w:val="000000"/>
                <w:spacing w:val="0"/>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2</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Calibri" w:hAnsi="Calibri" w:eastAsia="宋体" w:cs="Calibri"/>
                <w:i w:val="0"/>
                <w:iCs w:val="0"/>
                <w:caps w:val="0"/>
                <w:color w:val="000000"/>
                <w:spacing w:val="0"/>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（三）不予公开</w:t>
            </w: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1.属于国家秘密</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2</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Calibri" w:hAnsi="Calibri" w:eastAsia="宋体" w:cs="Calibri"/>
                <w:i w:val="0"/>
                <w:iCs w:val="0"/>
                <w:caps w:val="0"/>
                <w:color w:val="000000"/>
                <w:spacing w:val="0"/>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Calibri" w:hAnsi="Calibri" w:eastAsia="宋体" w:cs="Calibri"/>
                <w:i w:val="0"/>
                <w:iCs w:val="0"/>
                <w:caps w:val="0"/>
                <w:color w:val="000000"/>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（四）无法提供</w:t>
            </w: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eastAsiaTheme="minorEastAsia"/>
                <w:lang w:val="en-US" w:eastAsia="zh-CN"/>
              </w:rPr>
            </w:pPr>
            <w:r>
              <w:rPr>
                <w:rFonts w:hint="eastAsia"/>
                <w:lang w:val="en-US" w:eastAsia="zh-CN"/>
              </w:rPr>
              <w:t>11</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1</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eastAsiaTheme="minorEastAsia"/>
                <w:lang w:val="en-US" w:eastAsia="zh-CN"/>
              </w:rPr>
            </w:pPr>
            <w:r>
              <w:rPr>
                <w:rFonts w:hint="eastAsia"/>
                <w:lang w:val="en-US" w:eastAsia="zh-CN"/>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1</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（五）不予处理</w:t>
            </w: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2.重复申请</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Calibri" w:hAnsi="Calibri" w:eastAsia="宋体" w:cs="Calibri"/>
                <w:i w:val="0"/>
                <w:iCs w:val="0"/>
                <w:caps w:val="0"/>
                <w:color w:val="000000"/>
                <w:spacing w:val="0"/>
                <w:kern w:val="0"/>
                <w:sz w:val="20"/>
                <w:szCs w:val="20"/>
                <w:lang w:val="en-US" w:eastAsia="zh-CN" w:bidi="ar"/>
              </w:rPr>
              <w:t>6</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3406"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both"/>
            </w:pPr>
            <w:r>
              <w:rPr>
                <w:rFonts w:hint="eastAsia" w:ascii="宋体" w:hAnsi="宋体" w:eastAsia="宋体" w:cs="宋体"/>
                <w:i w:val="0"/>
                <w:iCs w:val="0"/>
                <w:caps w:val="0"/>
                <w:color w:val="000000"/>
                <w:spacing w:val="0"/>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14"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（六）其他处理</w:t>
            </w:r>
          </w:p>
        </w:tc>
        <w:tc>
          <w:tcPr>
            <w:tcW w:w="340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both"/>
            </w:pPr>
            <w:r>
              <w:rPr>
                <w:rFonts w:hint="eastAsia" w:ascii="宋体" w:hAnsi="宋体" w:eastAsia="宋体" w:cs="宋体"/>
                <w:i w:val="0"/>
                <w:iCs w:val="0"/>
                <w:caps w:val="0"/>
                <w:color w:val="000000"/>
                <w:spacing w:val="0"/>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both"/>
            </w:pPr>
            <w:r>
              <w:rPr>
                <w:rFonts w:hint="eastAsia" w:ascii="宋体" w:hAnsi="宋体" w:eastAsia="宋体" w:cs="宋体"/>
                <w:i w:val="0"/>
                <w:iCs w:val="0"/>
                <w:caps w:val="0"/>
                <w:color w:val="000000"/>
                <w:spacing w:val="0"/>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3.其他</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1</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000000"/>
                <w:kern w:val="2"/>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（七）总计</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000000"/>
                <w:spacing w:val="0"/>
                <w:kern w:val="0"/>
                <w:sz w:val="20"/>
                <w:szCs w:val="20"/>
                <w:lang w:val="en-US" w:eastAsia="zh-CN" w:bidi="ar"/>
              </w:rPr>
              <w:t>46</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1</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eastAsiaTheme="minorEastAsia"/>
                <w:lang w:val="en-US" w:eastAsia="zh-CN"/>
              </w:rPr>
            </w:pPr>
            <w:r>
              <w:rPr>
                <w:rFonts w:hint="eastAsia"/>
                <w:lang w:val="en-US" w:eastAsia="zh-CN"/>
              </w:rPr>
              <w:t>47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1" w:after="0" w:afterAutospacing="1"/>
              <w:ind w:left="0" w:right="0"/>
              <w:jc w:val="center"/>
            </w:pPr>
            <w:r>
              <w:rPr>
                <w:rFonts w:hint="default" w:ascii="Calibri" w:hAnsi="Calibri" w:eastAsia="宋体" w:cs="宋体"/>
                <w:i w:val="0"/>
                <w:iCs w:val="0"/>
                <w:caps w:val="0"/>
                <w:color w:val="000000"/>
                <w:spacing w:val="0"/>
                <w:kern w:val="2"/>
                <w:sz w:val="20"/>
                <w:szCs w:val="20"/>
                <w:lang w:val="en-US" w:eastAsia="zh-CN" w:bidi="ar"/>
              </w:rPr>
              <w:t>0</w:t>
            </w:r>
          </w:p>
        </w:tc>
      </w:tr>
    </w:tbl>
    <w:p>
      <w:pPr>
        <w:keepNext w:val="0"/>
        <w:keepLines w:val="0"/>
        <w:widowControl/>
        <w:numPr>
          <w:ilvl w:val="0"/>
          <w:numId w:val="0"/>
        </w:numPr>
        <w:suppressLineNumbers w:val="0"/>
        <w:spacing w:before="0" w:beforeAutospacing="1" w:after="0" w:afterAutospacing="1" w:line="590" w:lineRule="exact"/>
        <w:ind w:right="0" w:firstLine="321" w:firstLineChars="100"/>
        <w:jc w:val="left"/>
        <w:rPr>
          <w:rFonts w:hint="eastAsia" w:ascii="方正黑体_GBK" w:hAnsi="方正黑体_GBK" w:eastAsia="方正黑体_GBK" w:cs="方正黑体_GBK"/>
          <w:b/>
          <w:bCs/>
          <w:color w:val="000000"/>
          <w:kern w:val="2"/>
          <w:sz w:val="32"/>
          <w:szCs w:val="32"/>
          <w:lang w:val="en-US" w:eastAsia="zh-CN" w:bidi="ar"/>
        </w:rPr>
      </w:pPr>
      <w:r>
        <w:rPr>
          <w:rFonts w:hint="eastAsia" w:ascii="方正黑体_GBK" w:hAnsi="方正黑体_GBK" w:eastAsia="方正黑体_GBK" w:cs="方正黑体_GBK"/>
          <w:b/>
          <w:bCs/>
          <w:color w:val="000000"/>
          <w:kern w:val="2"/>
          <w:sz w:val="32"/>
          <w:szCs w:val="32"/>
          <w:lang w:val="en-US" w:eastAsia="zh-CN" w:bidi="ar"/>
        </w:rPr>
        <w:t>四、政府信息公开行政复议、行政诉讼情况</w:t>
      </w:r>
    </w:p>
    <w:tbl>
      <w:tblPr>
        <w:tblStyle w:val="2"/>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0"/>
                <w:szCs w:val="20"/>
                <w:lang w:val="en-US" w:eastAsia="zh-CN" w:bidi="ar"/>
              </w:rPr>
              <w:t>行政复议</w:t>
            </w:r>
          </w:p>
        </w:tc>
        <w:tc>
          <w:tcPr>
            <w:tcW w:w="6503" w:type="dxa"/>
            <w:gridSpan w:val="10"/>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0"/>
                <w:szCs w:val="20"/>
                <w:lang w:val="en-US" w:eastAsia="zh-CN" w:bidi="ar"/>
              </w:rPr>
              <w:t>结果维持</w:t>
            </w:r>
          </w:p>
        </w:tc>
        <w:tc>
          <w:tcPr>
            <w:tcW w:w="649"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0"/>
                <w:szCs w:val="20"/>
                <w:lang w:val="en-US" w:eastAsia="zh-CN" w:bidi="ar"/>
              </w:rPr>
              <w:t>结果</w:t>
            </w:r>
            <w:r>
              <w:rPr>
                <w:rFonts w:hint="eastAsia" w:ascii="宋体" w:hAnsi="宋体" w:eastAsia="宋体" w:cs="宋体"/>
                <w:i w:val="0"/>
                <w:iCs w:val="0"/>
                <w:caps w:val="0"/>
                <w:color w:val="000000"/>
                <w:spacing w:val="0"/>
                <w:kern w:val="0"/>
                <w:sz w:val="20"/>
                <w:szCs w:val="20"/>
                <w:lang w:val="en-US" w:eastAsia="zh-CN" w:bidi="ar"/>
              </w:rPr>
              <w:br w:type="textWrapping"/>
            </w:r>
            <w:r>
              <w:rPr>
                <w:rFonts w:hint="eastAsia" w:ascii="宋体" w:hAnsi="宋体" w:eastAsia="宋体" w:cs="宋体"/>
                <w:i w:val="0"/>
                <w:iCs w:val="0"/>
                <w:caps w:val="0"/>
                <w:color w:val="000000"/>
                <w:spacing w:val="0"/>
                <w:kern w:val="0"/>
                <w:sz w:val="20"/>
                <w:szCs w:val="20"/>
                <w:lang w:val="en-US" w:eastAsia="zh-CN" w:bidi="ar"/>
              </w:rPr>
              <w:t>纠正</w:t>
            </w:r>
          </w:p>
        </w:tc>
        <w:tc>
          <w:tcPr>
            <w:tcW w:w="649"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0"/>
                <w:szCs w:val="20"/>
                <w:lang w:val="en-US" w:eastAsia="zh-CN" w:bidi="ar"/>
              </w:rPr>
              <w:t>其他</w:t>
            </w:r>
            <w:r>
              <w:rPr>
                <w:rFonts w:hint="eastAsia" w:ascii="宋体" w:hAnsi="宋体" w:eastAsia="宋体" w:cs="宋体"/>
                <w:i w:val="0"/>
                <w:iCs w:val="0"/>
                <w:caps w:val="0"/>
                <w:color w:val="000000"/>
                <w:spacing w:val="0"/>
                <w:kern w:val="0"/>
                <w:sz w:val="20"/>
                <w:szCs w:val="20"/>
                <w:lang w:val="en-US" w:eastAsia="zh-CN" w:bidi="ar"/>
              </w:rPr>
              <w:br w:type="textWrapping"/>
            </w:r>
            <w:r>
              <w:rPr>
                <w:rFonts w:hint="eastAsia" w:ascii="宋体" w:hAnsi="宋体" w:eastAsia="宋体" w:cs="宋体"/>
                <w:i w:val="0"/>
                <w:iCs w:val="0"/>
                <w:caps w:val="0"/>
                <w:color w:val="000000"/>
                <w:spacing w:val="0"/>
                <w:kern w:val="0"/>
                <w:sz w:val="20"/>
                <w:szCs w:val="20"/>
                <w:lang w:val="en-US" w:eastAsia="zh-CN" w:bidi="ar"/>
              </w:rPr>
              <w:t>结果</w:t>
            </w:r>
          </w:p>
        </w:tc>
        <w:tc>
          <w:tcPr>
            <w:tcW w:w="649"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0"/>
                <w:szCs w:val="20"/>
                <w:lang w:val="en-US" w:eastAsia="zh-CN" w:bidi="ar"/>
              </w:rPr>
              <w:t>尚未</w:t>
            </w:r>
            <w:r>
              <w:rPr>
                <w:rFonts w:hint="eastAsia" w:ascii="宋体" w:hAnsi="宋体" w:eastAsia="宋体" w:cs="宋体"/>
                <w:i w:val="0"/>
                <w:iCs w:val="0"/>
                <w:caps w:val="0"/>
                <w:color w:val="000000"/>
                <w:spacing w:val="0"/>
                <w:kern w:val="0"/>
                <w:sz w:val="20"/>
                <w:szCs w:val="20"/>
                <w:lang w:val="en-US" w:eastAsia="zh-CN" w:bidi="ar"/>
              </w:rPr>
              <w:br w:type="textWrapping"/>
            </w:r>
            <w:r>
              <w:rPr>
                <w:rFonts w:hint="eastAsia" w:ascii="宋体" w:hAnsi="宋体" w:eastAsia="宋体" w:cs="宋体"/>
                <w:i w:val="0"/>
                <w:iCs w:val="0"/>
                <w:caps w:val="0"/>
                <w:color w:val="000000"/>
                <w:spacing w:val="0"/>
                <w:kern w:val="0"/>
                <w:sz w:val="20"/>
                <w:szCs w:val="20"/>
                <w:lang w:val="en-US" w:eastAsia="zh-CN" w:bidi="ar"/>
              </w:rPr>
              <w:t>审结</w:t>
            </w:r>
          </w:p>
        </w:tc>
        <w:tc>
          <w:tcPr>
            <w:tcW w:w="649"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0"/>
                <w:szCs w:val="20"/>
                <w:lang w:val="en-US" w:eastAsia="zh-CN" w:bidi="ar"/>
              </w:rPr>
              <w:t>总计</w:t>
            </w:r>
          </w:p>
        </w:tc>
        <w:tc>
          <w:tcPr>
            <w:tcW w:w="3248" w:type="dxa"/>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0"/>
                <w:szCs w:val="20"/>
                <w:lang w:val="en-US" w:eastAsia="zh-CN" w:bidi="ar"/>
              </w:rPr>
              <w:t>未经复议直接起诉</w:t>
            </w:r>
          </w:p>
        </w:tc>
        <w:tc>
          <w:tcPr>
            <w:tcW w:w="3255" w:type="dxa"/>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64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6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0"/>
                <w:szCs w:val="20"/>
                <w:lang w:val="en-US" w:eastAsia="zh-CN" w:bidi="ar"/>
              </w:rPr>
              <w:t>结果</w:t>
            </w:r>
            <w:r>
              <w:rPr>
                <w:rFonts w:hint="eastAsia" w:ascii="宋体" w:hAnsi="宋体" w:eastAsia="宋体" w:cs="宋体"/>
                <w:i w:val="0"/>
                <w:iCs w:val="0"/>
                <w:caps w:val="0"/>
                <w:color w:val="000000"/>
                <w:spacing w:val="0"/>
                <w:kern w:val="0"/>
                <w:sz w:val="20"/>
                <w:szCs w:val="20"/>
                <w:lang w:val="en-US" w:eastAsia="zh-CN" w:bidi="ar"/>
              </w:rPr>
              <w:br w:type="textWrapping"/>
            </w:r>
            <w:r>
              <w:rPr>
                <w:rFonts w:hint="eastAsia" w:ascii="宋体" w:hAnsi="宋体" w:eastAsia="宋体" w:cs="宋体"/>
                <w:i w:val="0"/>
                <w:iCs w:val="0"/>
                <w:caps w:val="0"/>
                <w:color w:val="000000"/>
                <w:spacing w:val="0"/>
                <w:kern w:val="0"/>
                <w:sz w:val="20"/>
                <w:szCs w:val="20"/>
                <w:lang w:val="en-US" w:eastAsia="zh-CN" w:bidi="ar"/>
              </w:rPr>
              <w:t>维持</w:t>
            </w:r>
          </w:p>
        </w:tc>
        <w:tc>
          <w:tcPr>
            <w:tcW w:w="6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0"/>
                <w:szCs w:val="20"/>
                <w:lang w:val="en-US" w:eastAsia="zh-CN" w:bidi="ar"/>
              </w:rPr>
              <w:t>结果</w:t>
            </w:r>
            <w:r>
              <w:rPr>
                <w:rFonts w:hint="eastAsia" w:ascii="宋体" w:hAnsi="宋体" w:eastAsia="宋体" w:cs="宋体"/>
                <w:i w:val="0"/>
                <w:iCs w:val="0"/>
                <w:caps w:val="0"/>
                <w:color w:val="000000"/>
                <w:spacing w:val="0"/>
                <w:kern w:val="0"/>
                <w:sz w:val="20"/>
                <w:szCs w:val="20"/>
                <w:lang w:val="en-US" w:eastAsia="zh-CN" w:bidi="ar"/>
              </w:rPr>
              <w:br w:type="textWrapping"/>
            </w:r>
            <w:r>
              <w:rPr>
                <w:rFonts w:hint="eastAsia" w:ascii="宋体" w:hAnsi="宋体" w:eastAsia="宋体" w:cs="宋体"/>
                <w:i w:val="0"/>
                <w:iCs w:val="0"/>
                <w:caps w:val="0"/>
                <w:color w:val="000000"/>
                <w:spacing w:val="0"/>
                <w:kern w:val="0"/>
                <w:sz w:val="20"/>
                <w:szCs w:val="20"/>
                <w:lang w:val="en-US" w:eastAsia="zh-CN" w:bidi="ar"/>
              </w:rPr>
              <w:t>纠正</w:t>
            </w:r>
          </w:p>
        </w:tc>
        <w:tc>
          <w:tcPr>
            <w:tcW w:w="65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0"/>
                <w:szCs w:val="20"/>
                <w:lang w:val="en-US" w:eastAsia="zh-CN" w:bidi="ar"/>
              </w:rPr>
              <w:t>其他</w:t>
            </w:r>
            <w:r>
              <w:rPr>
                <w:rFonts w:hint="eastAsia" w:ascii="宋体" w:hAnsi="宋体" w:eastAsia="宋体" w:cs="宋体"/>
                <w:i w:val="0"/>
                <w:iCs w:val="0"/>
                <w:caps w:val="0"/>
                <w:color w:val="000000"/>
                <w:spacing w:val="0"/>
                <w:kern w:val="0"/>
                <w:sz w:val="20"/>
                <w:szCs w:val="20"/>
                <w:lang w:val="en-US" w:eastAsia="zh-CN" w:bidi="ar"/>
              </w:rPr>
              <w:br w:type="textWrapping"/>
            </w:r>
            <w:r>
              <w:rPr>
                <w:rFonts w:hint="eastAsia" w:ascii="宋体" w:hAnsi="宋体" w:eastAsia="宋体" w:cs="宋体"/>
                <w:i w:val="0"/>
                <w:iCs w:val="0"/>
                <w:caps w:val="0"/>
                <w:color w:val="000000"/>
                <w:spacing w:val="0"/>
                <w:kern w:val="0"/>
                <w:sz w:val="20"/>
                <w:szCs w:val="20"/>
                <w:lang w:val="en-US" w:eastAsia="zh-CN" w:bidi="ar"/>
              </w:rPr>
              <w:t>结果</w:t>
            </w:r>
          </w:p>
        </w:tc>
        <w:tc>
          <w:tcPr>
            <w:tcW w:w="65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0"/>
                <w:szCs w:val="20"/>
                <w:lang w:val="en-US" w:eastAsia="zh-CN" w:bidi="ar"/>
              </w:rPr>
              <w:t>尚未</w:t>
            </w:r>
            <w:r>
              <w:rPr>
                <w:rFonts w:hint="eastAsia" w:ascii="宋体" w:hAnsi="宋体" w:eastAsia="宋体" w:cs="宋体"/>
                <w:i w:val="0"/>
                <w:iCs w:val="0"/>
                <w:caps w:val="0"/>
                <w:color w:val="000000"/>
                <w:spacing w:val="0"/>
                <w:kern w:val="0"/>
                <w:sz w:val="20"/>
                <w:szCs w:val="20"/>
                <w:lang w:val="en-US" w:eastAsia="zh-CN" w:bidi="ar"/>
              </w:rPr>
              <w:br w:type="textWrapping"/>
            </w:r>
            <w:r>
              <w:rPr>
                <w:rFonts w:hint="eastAsia" w:ascii="宋体" w:hAnsi="宋体" w:eastAsia="宋体" w:cs="宋体"/>
                <w:i w:val="0"/>
                <w:iCs w:val="0"/>
                <w:caps w:val="0"/>
                <w:color w:val="000000"/>
                <w:spacing w:val="0"/>
                <w:kern w:val="0"/>
                <w:sz w:val="20"/>
                <w:szCs w:val="20"/>
                <w:lang w:val="en-US" w:eastAsia="zh-CN" w:bidi="ar"/>
              </w:rPr>
              <w:t>审结</w:t>
            </w:r>
          </w:p>
        </w:tc>
        <w:tc>
          <w:tcPr>
            <w:tcW w:w="65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0"/>
                <w:szCs w:val="20"/>
                <w:lang w:val="en-US" w:eastAsia="zh-CN" w:bidi="ar"/>
              </w:rPr>
              <w:t>总计</w:t>
            </w:r>
          </w:p>
        </w:tc>
        <w:tc>
          <w:tcPr>
            <w:tcW w:w="65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0"/>
                <w:szCs w:val="20"/>
                <w:lang w:val="en-US" w:eastAsia="zh-CN" w:bidi="ar"/>
              </w:rPr>
              <w:t>结果</w:t>
            </w:r>
            <w:r>
              <w:rPr>
                <w:rFonts w:hint="eastAsia" w:ascii="宋体" w:hAnsi="宋体" w:eastAsia="宋体" w:cs="宋体"/>
                <w:i w:val="0"/>
                <w:iCs w:val="0"/>
                <w:caps w:val="0"/>
                <w:color w:val="000000"/>
                <w:spacing w:val="0"/>
                <w:kern w:val="0"/>
                <w:sz w:val="20"/>
                <w:szCs w:val="20"/>
                <w:lang w:val="en-US" w:eastAsia="zh-CN" w:bidi="ar"/>
              </w:rPr>
              <w:br w:type="textWrapping"/>
            </w:r>
            <w:r>
              <w:rPr>
                <w:rFonts w:hint="eastAsia" w:ascii="宋体" w:hAnsi="宋体" w:eastAsia="宋体" w:cs="宋体"/>
                <w:i w:val="0"/>
                <w:iCs w:val="0"/>
                <w:caps w:val="0"/>
                <w:color w:val="000000"/>
                <w:spacing w:val="0"/>
                <w:kern w:val="0"/>
                <w:sz w:val="20"/>
                <w:szCs w:val="20"/>
                <w:lang w:val="en-US" w:eastAsia="zh-CN" w:bidi="ar"/>
              </w:rPr>
              <w:t>维持</w:t>
            </w:r>
          </w:p>
        </w:tc>
        <w:tc>
          <w:tcPr>
            <w:tcW w:w="65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0"/>
                <w:szCs w:val="20"/>
                <w:lang w:val="en-US" w:eastAsia="zh-CN" w:bidi="ar"/>
              </w:rPr>
              <w:t>结果</w:t>
            </w:r>
            <w:r>
              <w:rPr>
                <w:rFonts w:hint="eastAsia" w:ascii="宋体" w:hAnsi="宋体" w:eastAsia="宋体" w:cs="宋体"/>
                <w:i w:val="0"/>
                <w:iCs w:val="0"/>
                <w:caps w:val="0"/>
                <w:color w:val="000000"/>
                <w:spacing w:val="0"/>
                <w:kern w:val="0"/>
                <w:sz w:val="20"/>
                <w:szCs w:val="20"/>
                <w:lang w:val="en-US" w:eastAsia="zh-CN" w:bidi="ar"/>
              </w:rPr>
              <w:br w:type="textWrapping"/>
            </w:r>
            <w:r>
              <w:rPr>
                <w:rFonts w:hint="eastAsia" w:ascii="宋体" w:hAnsi="宋体" w:eastAsia="宋体" w:cs="宋体"/>
                <w:i w:val="0"/>
                <w:iCs w:val="0"/>
                <w:caps w:val="0"/>
                <w:color w:val="000000"/>
                <w:spacing w:val="0"/>
                <w:kern w:val="0"/>
                <w:sz w:val="20"/>
                <w:szCs w:val="20"/>
                <w:lang w:val="en-US" w:eastAsia="zh-CN" w:bidi="ar"/>
              </w:rPr>
              <w:t>纠正</w:t>
            </w:r>
          </w:p>
        </w:tc>
        <w:tc>
          <w:tcPr>
            <w:tcW w:w="65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0"/>
                <w:szCs w:val="20"/>
                <w:lang w:val="en-US" w:eastAsia="zh-CN" w:bidi="ar"/>
              </w:rPr>
              <w:t>其他</w:t>
            </w:r>
            <w:r>
              <w:rPr>
                <w:rFonts w:hint="eastAsia" w:ascii="宋体" w:hAnsi="宋体" w:eastAsia="宋体" w:cs="宋体"/>
                <w:i w:val="0"/>
                <w:iCs w:val="0"/>
                <w:caps w:val="0"/>
                <w:color w:val="000000"/>
                <w:spacing w:val="0"/>
                <w:kern w:val="0"/>
                <w:sz w:val="20"/>
                <w:szCs w:val="20"/>
                <w:lang w:val="en-US" w:eastAsia="zh-CN" w:bidi="ar"/>
              </w:rPr>
              <w:br w:type="textWrapping"/>
            </w:r>
            <w:r>
              <w:rPr>
                <w:rFonts w:hint="eastAsia" w:ascii="宋体" w:hAnsi="宋体" w:eastAsia="宋体" w:cs="宋体"/>
                <w:i w:val="0"/>
                <w:iCs w:val="0"/>
                <w:caps w:val="0"/>
                <w:color w:val="000000"/>
                <w:spacing w:val="0"/>
                <w:kern w:val="0"/>
                <w:sz w:val="20"/>
                <w:szCs w:val="20"/>
                <w:lang w:val="en-US" w:eastAsia="zh-CN" w:bidi="ar"/>
              </w:rPr>
              <w:t>结果</w:t>
            </w:r>
          </w:p>
        </w:tc>
        <w:tc>
          <w:tcPr>
            <w:tcW w:w="65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0"/>
                <w:szCs w:val="20"/>
                <w:lang w:val="en-US" w:eastAsia="zh-CN" w:bidi="ar"/>
              </w:rPr>
              <w:t>尚未</w:t>
            </w:r>
            <w:r>
              <w:rPr>
                <w:rFonts w:hint="eastAsia" w:ascii="宋体" w:hAnsi="宋体" w:eastAsia="宋体" w:cs="宋体"/>
                <w:i w:val="0"/>
                <w:iCs w:val="0"/>
                <w:caps w:val="0"/>
                <w:color w:val="000000"/>
                <w:spacing w:val="0"/>
                <w:kern w:val="0"/>
                <w:sz w:val="20"/>
                <w:szCs w:val="20"/>
                <w:lang w:val="en-US" w:eastAsia="zh-CN" w:bidi="ar"/>
              </w:rPr>
              <w:br w:type="textWrapping"/>
            </w:r>
            <w:r>
              <w:rPr>
                <w:rFonts w:hint="eastAsia" w:ascii="宋体" w:hAnsi="宋体" w:eastAsia="宋体" w:cs="宋体"/>
                <w:i w:val="0"/>
                <w:iCs w:val="0"/>
                <w:caps w:val="0"/>
                <w:color w:val="000000"/>
                <w:spacing w:val="0"/>
                <w:kern w:val="0"/>
                <w:sz w:val="20"/>
                <w:szCs w:val="20"/>
                <w:lang w:val="en-US" w:eastAsia="zh-CN" w:bidi="ar"/>
              </w:rPr>
              <w:t>审结</w:t>
            </w:r>
          </w:p>
        </w:tc>
        <w:tc>
          <w:tcPr>
            <w:tcW w:w="65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leftChars="0" w:right="0" w:rightChars="0" w:firstLine="0" w:firstLineChars="0"/>
              <w:jc w:val="center"/>
            </w:pPr>
            <w:r>
              <w:rPr>
                <w:rFonts w:hint="eastAsia"/>
                <w:lang w:val="en-US" w:eastAsia="zh-CN"/>
              </w:rPr>
              <w:t>0</w:t>
            </w:r>
          </w:p>
        </w:tc>
        <w:tc>
          <w:tcPr>
            <w:tcW w:w="6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leftChars="0" w:right="0" w:rightChars="0" w:firstLine="0" w:firstLineChars="0"/>
              <w:jc w:val="center"/>
            </w:pPr>
            <w:r>
              <w:rPr>
                <w:rFonts w:hint="eastAsia"/>
                <w:lang w:val="en-US" w:eastAsia="zh-CN"/>
              </w:rPr>
              <w:t>0</w:t>
            </w:r>
          </w:p>
        </w:tc>
        <w:tc>
          <w:tcPr>
            <w:tcW w:w="6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leftChars="0" w:right="0" w:rightChars="0" w:firstLine="0" w:firstLineChars="0"/>
              <w:jc w:val="center"/>
            </w:pPr>
            <w:r>
              <w:rPr>
                <w:rFonts w:hint="eastAsia"/>
                <w:lang w:val="en-US" w:eastAsia="zh-CN"/>
              </w:rPr>
              <w:t>0</w:t>
            </w:r>
          </w:p>
        </w:tc>
        <w:tc>
          <w:tcPr>
            <w:tcW w:w="6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leftChars="0" w:right="0" w:rightChars="0" w:firstLine="0" w:firstLineChars="0"/>
              <w:jc w:val="center"/>
            </w:pPr>
            <w:r>
              <w:rPr>
                <w:rFonts w:hint="eastAsia"/>
                <w:lang w:val="en-US" w:eastAsia="zh-CN"/>
              </w:rPr>
              <w:t>0</w:t>
            </w:r>
          </w:p>
        </w:tc>
        <w:tc>
          <w:tcPr>
            <w:tcW w:w="6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leftChars="0" w:right="0" w:rightChars="0" w:firstLine="0" w:firstLineChars="0"/>
              <w:jc w:val="center"/>
            </w:pPr>
            <w:r>
              <w:rPr>
                <w:rFonts w:hint="eastAsia"/>
                <w:lang w:val="en-US" w:eastAsia="zh-CN"/>
              </w:rPr>
              <w:t>0</w:t>
            </w:r>
          </w:p>
        </w:tc>
        <w:tc>
          <w:tcPr>
            <w:tcW w:w="6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leftChars="0" w:right="0" w:rightChars="0" w:firstLine="0" w:firstLineChars="0"/>
              <w:jc w:val="center"/>
            </w:pPr>
            <w:r>
              <w:rPr>
                <w:rFonts w:hint="eastAsia"/>
                <w:lang w:val="en-US" w:eastAsia="zh-CN"/>
              </w:rPr>
              <w:t>0</w:t>
            </w:r>
          </w:p>
        </w:tc>
        <w:tc>
          <w:tcPr>
            <w:tcW w:w="6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leftChars="0" w:right="0" w:rightChars="0" w:firstLine="0" w:firstLineChars="0"/>
              <w:jc w:val="center"/>
            </w:pPr>
            <w:r>
              <w:rPr>
                <w:rFonts w:hint="eastAsia"/>
                <w:lang w:val="en-US" w:eastAsia="zh-CN"/>
              </w:rPr>
              <w:t>0</w:t>
            </w:r>
          </w:p>
        </w:tc>
        <w:tc>
          <w:tcPr>
            <w:tcW w:w="6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leftChars="0" w:right="0" w:rightChars="0" w:firstLine="0" w:firstLineChars="0"/>
              <w:jc w:val="center"/>
            </w:pPr>
            <w:r>
              <w:rPr>
                <w:rFonts w:hint="eastAsia"/>
                <w:lang w:val="en-US" w:eastAsia="zh-CN"/>
              </w:rPr>
              <w:t>0</w:t>
            </w:r>
          </w:p>
        </w:tc>
        <w:tc>
          <w:tcPr>
            <w:tcW w:w="6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leftChars="0" w:right="0" w:rightChars="0" w:firstLine="0" w:firstLineChars="0"/>
              <w:jc w:val="center"/>
            </w:pPr>
            <w:r>
              <w:rPr>
                <w:rFonts w:hint="eastAsia"/>
                <w:lang w:val="en-US" w:eastAsia="zh-CN"/>
              </w:rPr>
              <w:t>0</w:t>
            </w:r>
          </w:p>
        </w:tc>
        <w:tc>
          <w:tcPr>
            <w:tcW w:w="6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leftChars="0" w:right="0" w:rightChars="0" w:firstLine="0" w:firstLineChars="0"/>
              <w:jc w:val="center"/>
            </w:pPr>
            <w:r>
              <w:rPr>
                <w:rFonts w:hint="eastAsia"/>
                <w:lang w:val="en-US" w:eastAsia="zh-CN"/>
              </w:rPr>
              <w:t>0</w:t>
            </w:r>
          </w:p>
        </w:tc>
        <w:tc>
          <w:tcPr>
            <w:tcW w:w="6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leftChars="0" w:right="0" w:rightChars="0" w:firstLine="0" w:firstLineChars="0"/>
              <w:jc w:val="center"/>
            </w:pPr>
            <w:r>
              <w:rPr>
                <w:rFonts w:hint="eastAsia"/>
                <w:lang w:val="en-US" w:eastAsia="zh-CN"/>
              </w:rPr>
              <w:t>0</w:t>
            </w:r>
          </w:p>
        </w:tc>
        <w:tc>
          <w:tcPr>
            <w:tcW w:w="6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leftChars="0" w:right="0" w:rightChars="0" w:firstLine="0" w:firstLineChars="0"/>
              <w:jc w:val="center"/>
            </w:pPr>
            <w:r>
              <w:rPr>
                <w:rFonts w:hint="eastAsia"/>
                <w:lang w:val="en-US" w:eastAsia="zh-CN"/>
              </w:rPr>
              <w:t>0</w:t>
            </w:r>
          </w:p>
        </w:tc>
        <w:tc>
          <w:tcPr>
            <w:tcW w:w="6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leftChars="0" w:right="0" w:rightChars="0" w:firstLine="0" w:firstLineChars="0"/>
              <w:jc w:val="center"/>
            </w:pPr>
            <w:r>
              <w:rPr>
                <w:rFonts w:hint="eastAsia"/>
                <w:lang w:val="en-US" w:eastAsia="zh-CN"/>
              </w:rPr>
              <w:t>0</w:t>
            </w:r>
          </w:p>
        </w:tc>
        <w:tc>
          <w:tcPr>
            <w:tcW w:w="6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leftChars="0" w:right="0" w:rightChars="0" w:firstLine="0" w:firstLineChars="0"/>
              <w:jc w:val="center"/>
            </w:pPr>
            <w:r>
              <w:rPr>
                <w:rFonts w:hint="eastAsia"/>
                <w:lang w:val="en-US" w:eastAsia="zh-CN"/>
              </w:rPr>
              <w:t>0</w:t>
            </w:r>
          </w:p>
        </w:tc>
        <w:tc>
          <w:tcPr>
            <w:tcW w:w="6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leftChars="0" w:right="0" w:rightChars="0"/>
              <w:jc w:val="center"/>
            </w:pPr>
            <w:r>
              <w:rPr>
                <w:rFonts w:hint="eastAsia"/>
                <w:lang w:val="en-US" w:eastAsia="zh-CN"/>
              </w:rPr>
              <w:t>0</w:t>
            </w:r>
          </w:p>
        </w:tc>
      </w:tr>
    </w:tbl>
    <w:p>
      <w:pPr>
        <w:keepNext w:val="0"/>
        <w:keepLines w:val="0"/>
        <w:widowControl/>
        <w:numPr>
          <w:ilvl w:val="0"/>
          <w:numId w:val="0"/>
        </w:numPr>
        <w:suppressLineNumbers w:val="0"/>
        <w:spacing w:before="0" w:beforeAutospacing="1" w:after="0" w:afterAutospacing="1" w:line="590" w:lineRule="exact"/>
        <w:ind w:right="0" w:firstLine="643" w:firstLineChars="200"/>
        <w:jc w:val="left"/>
        <w:rPr>
          <w:rFonts w:hint="eastAsia" w:ascii="方正黑体_GBK" w:hAnsi="方正黑体_GBK" w:eastAsia="方正黑体_GBK" w:cs="方正黑体_GBK"/>
          <w:b/>
          <w:bCs/>
          <w:color w:val="000000"/>
          <w:kern w:val="2"/>
          <w:sz w:val="32"/>
          <w:szCs w:val="32"/>
          <w:lang w:val="en-US" w:eastAsia="zh-CN" w:bidi="ar"/>
        </w:rPr>
      </w:pPr>
      <w:r>
        <w:rPr>
          <w:rFonts w:hint="eastAsia" w:ascii="方正黑体_GBK" w:hAnsi="方正黑体_GBK" w:eastAsia="方正黑体_GBK" w:cs="方正黑体_GBK"/>
          <w:b/>
          <w:bCs/>
          <w:color w:val="000000"/>
          <w:kern w:val="2"/>
          <w:sz w:val="32"/>
          <w:szCs w:val="32"/>
          <w:lang w:val="en-US" w:eastAsia="zh-CN" w:bidi="ar"/>
        </w:rPr>
        <w:t>五、存在的主要问题及改进情况</w:t>
      </w:r>
    </w:p>
    <w:p>
      <w:pPr>
        <w:keepNext w:val="0"/>
        <w:keepLines w:val="0"/>
        <w:widowControl/>
        <w:suppressLineNumbers w:val="0"/>
        <w:spacing w:before="0" w:beforeAutospacing="1" w:after="0" w:afterAutospacing="1" w:line="590" w:lineRule="exact"/>
        <w:ind w:right="0" w:firstLine="640" w:firstLineChars="200"/>
        <w:jc w:val="left"/>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color w:val="000000"/>
          <w:kern w:val="2"/>
          <w:sz w:val="32"/>
          <w:szCs w:val="32"/>
          <w:lang w:val="en-US" w:eastAsia="zh-CN" w:bidi="ar"/>
        </w:rPr>
        <w:t>存在主要问题：一是政策解读质量仍有待提高，专家解读、负责人解读等解读视角占比仍然较小，视频解读等解读形式还有待丰富；二是解读材料与政策文件相比，仍有滞后性；三是行政权力运行结果发布规范化仍有待提升；四是重大建设项目信息发布规范化仍有待提升，项目建设过程及竣工信息发布占比较小。</w:t>
      </w:r>
    </w:p>
    <w:p>
      <w:pPr>
        <w:keepNext w:val="0"/>
        <w:keepLines w:val="0"/>
        <w:widowControl/>
        <w:suppressLineNumbers w:val="0"/>
        <w:spacing w:before="0" w:beforeAutospacing="1" w:after="0" w:afterAutospacing="1" w:line="590" w:lineRule="exact"/>
        <w:ind w:left="0" w:right="0" w:firstLine="640" w:firstLineChars="200"/>
        <w:jc w:val="left"/>
        <w:rPr>
          <w:rFonts w:hint="default"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针对上述问题，着力从以下几方面进行提升：一是加强优秀解读材料的学习理解，培养场景化解读思维，丰富解读材料制作手段；二是从公文办理制度方面保障解读材料时效性，力求解读材料与政策文件同步起草，同步审核，同步发布；三是加强业务内容梳理，从业务实质着手，整理行政权力运行与重大项目信息的逻辑性与关联性，统一规范两类信息的发布形式，不断磨合优化，提升行政权力运行与重大项目信息主动公开效果</w:t>
      </w:r>
    </w:p>
    <w:p>
      <w:pPr>
        <w:keepNext w:val="0"/>
        <w:keepLines w:val="0"/>
        <w:widowControl/>
        <w:suppressLineNumbers w:val="0"/>
        <w:spacing w:before="0" w:beforeAutospacing="1" w:after="0" w:afterAutospacing="1" w:line="590" w:lineRule="exact"/>
        <w:ind w:left="0" w:right="0" w:firstLine="643"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color w:val="000000"/>
          <w:kern w:val="2"/>
          <w:sz w:val="32"/>
          <w:szCs w:val="32"/>
          <w:lang w:val="en-US" w:eastAsia="zh-CN" w:bidi="ar"/>
        </w:rPr>
        <w:t>六、其他需要报告的事项</w:t>
      </w:r>
    </w:p>
    <w:p>
      <w:pPr>
        <w:keepNext w:val="0"/>
        <w:keepLines w:val="0"/>
        <w:widowControl/>
        <w:suppressLineNumbers w:val="0"/>
        <w:spacing w:before="0" w:beforeAutospacing="1" w:after="0" w:afterAutospacing="1" w:line="590" w:lineRule="exact"/>
        <w:ind w:left="0" w:right="0" w:firstLine="640" w:firstLineChars="200"/>
        <w:jc w:val="left"/>
        <w:rPr>
          <w:rFonts w:hint="default"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按照《国务院办公厅关于印发〈政府信息公开信息处理费管理办法〉的通知》（国办函〔2020〕109号）规定的按件、按量收费标准，本年度没有产生信息公开处理费。</w:t>
      </w:r>
      <w:bookmarkStart w:id="0" w:name="_GoBack"/>
      <w:bookmarkEnd w:id="0"/>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CB748"/>
    <w:multiLevelType w:val="singleLevel"/>
    <w:tmpl w:val="9F3CB74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MTk5ZTg0NWEyZGRmNmZhZTMwMDk1MWE1MDZmYzMifQ=="/>
  </w:docVars>
  <w:rsids>
    <w:rsidRoot w:val="00000000"/>
    <w:rsid w:val="0019746D"/>
    <w:rsid w:val="00384936"/>
    <w:rsid w:val="006E5831"/>
    <w:rsid w:val="00813C94"/>
    <w:rsid w:val="00831038"/>
    <w:rsid w:val="00A538FD"/>
    <w:rsid w:val="00C15713"/>
    <w:rsid w:val="01615035"/>
    <w:rsid w:val="02250DAF"/>
    <w:rsid w:val="026208D4"/>
    <w:rsid w:val="02E736E7"/>
    <w:rsid w:val="03173BBA"/>
    <w:rsid w:val="03250FD4"/>
    <w:rsid w:val="032E57E3"/>
    <w:rsid w:val="03541A1B"/>
    <w:rsid w:val="03AD4E56"/>
    <w:rsid w:val="04061045"/>
    <w:rsid w:val="04066A7D"/>
    <w:rsid w:val="04860ABC"/>
    <w:rsid w:val="048A7893"/>
    <w:rsid w:val="04910733"/>
    <w:rsid w:val="04954FF9"/>
    <w:rsid w:val="049C4585"/>
    <w:rsid w:val="04A15420"/>
    <w:rsid w:val="04D73C15"/>
    <w:rsid w:val="054722AB"/>
    <w:rsid w:val="0643056A"/>
    <w:rsid w:val="065C1E00"/>
    <w:rsid w:val="06872679"/>
    <w:rsid w:val="06CE68F0"/>
    <w:rsid w:val="06F145B8"/>
    <w:rsid w:val="075C4B70"/>
    <w:rsid w:val="07637CF7"/>
    <w:rsid w:val="081C0F24"/>
    <w:rsid w:val="08266C9B"/>
    <w:rsid w:val="08915DEE"/>
    <w:rsid w:val="08C93BF9"/>
    <w:rsid w:val="08DE4203"/>
    <w:rsid w:val="08F473BC"/>
    <w:rsid w:val="09BE0351"/>
    <w:rsid w:val="0A9B33B8"/>
    <w:rsid w:val="0AB64C67"/>
    <w:rsid w:val="0AE335E5"/>
    <w:rsid w:val="0B554713"/>
    <w:rsid w:val="0C0433D9"/>
    <w:rsid w:val="0C341DE6"/>
    <w:rsid w:val="0CC12546"/>
    <w:rsid w:val="0CFC7230"/>
    <w:rsid w:val="0DC31715"/>
    <w:rsid w:val="0DE03666"/>
    <w:rsid w:val="0DEB5659"/>
    <w:rsid w:val="0E5D57DF"/>
    <w:rsid w:val="0E6D058E"/>
    <w:rsid w:val="0ECE1A66"/>
    <w:rsid w:val="0EEC06F7"/>
    <w:rsid w:val="0EFE75C4"/>
    <w:rsid w:val="0F136CBF"/>
    <w:rsid w:val="0F3B1950"/>
    <w:rsid w:val="0F4005E0"/>
    <w:rsid w:val="0F4978D0"/>
    <w:rsid w:val="102638CC"/>
    <w:rsid w:val="106540AC"/>
    <w:rsid w:val="10AD0680"/>
    <w:rsid w:val="11EB5EED"/>
    <w:rsid w:val="12DA282A"/>
    <w:rsid w:val="13D527B7"/>
    <w:rsid w:val="140000B1"/>
    <w:rsid w:val="1462187A"/>
    <w:rsid w:val="14716A73"/>
    <w:rsid w:val="1477084B"/>
    <w:rsid w:val="15026C5D"/>
    <w:rsid w:val="155B7875"/>
    <w:rsid w:val="1563224C"/>
    <w:rsid w:val="158505B4"/>
    <w:rsid w:val="15AF2B0C"/>
    <w:rsid w:val="15C3548F"/>
    <w:rsid w:val="15E44A56"/>
    <w:rsid w:val="161D0A9E"/>
    <w:rsid w:val="16605C3E"/>
    <w:rsid w:val="16AD43D6"/>
    <w:rsid w:val="16C412BC"/>
    <w:rsid w:val="16D2495D"/>
    <w:rsid w:val="171F4290"/>
    <w:rsid w:val="17F95F7A"/>
    <w:rsid w:val="18424857"/>
    <w:rsid w:val="186F65D1"/>
    <w:rsid w:val="197840F4"/>
    <w:rsid w:val="1A485699"/>
    <w:rsid w:val="1AC8027A"/>
    <w:rsid w:val="1BFD77E6"/>
    <w:rsid w:val="1C067838"/>
    <w:rsid w:val="1C6827E2"/>
    <w:rsid w:val="1C702041"/>
    <w:rsid w:val="1CC7752C"/>
    <w:rsid w:val="1D266C9D"/>
    <w:rsid w:val="1DAE0705"/>
    <w:rsid w:val="1DC63A07"/>
    <w:rsid w:val="1DD14019"/>
    <w:rsid w:val="1DD937FA"/>
    <w:rsid w:val="1E2A6E99"/>
    <w:rsid w:val="1E7F5F22"/>
    <w:rsid w:val="1EE1694A"/>
    <w:rsid w:val="1F151EFF"/>
    <w:rsid w:val="1F422F3C"/>
    <w:rsid w:val="1F8332F9"/>
    <w:rsid w:val="1FB25A29"/>
    <w:rsid w:val="1FB77EFA"/>
    <w:rsid w:val="1FF90F95"/>
    <w:rsid w:val="20C22241"/>
    <w:rsid w:val="20F46856"/>
    <w:rsid w:val="21616897"/>
    <w:rsid w:val="2197159C"/>
    <w:rsid w:val="220476A4"/>
    <w:rsid w:val="22B53A5B"/>
    <w:rsid w:val="230A5AB6"/>
    <w:rsid w:val="233508FC"/>
    <w:rsid w:val="235D316B"/>
    <w:rsid w:val="23F10D82"/>
    <w:rsid w:val="240549A7"/>
    <w:rsid w:val="249164DE"/>
    <w:rsid w:val="257D4CCF"/>
    <w:rsid w:val="25A01D55"/>
    <w:rsid w:val="25BD01C8"/>
    <w:rsid w:val="25F248BE"/>
    <w:rsid w:val="26485289"/>
    <w:rsid w:val="264D4689"/>
    <w:rsid w:val="26506DC7"/>
    <w:rsid w:val="26913E48"/>
    <w:rsid w:val="26C70996"/>
    <w:rsid w:val="27016680"/>
    <w:rsid w:val="278B578F"/>
    <w:rsid w:val="27B1709D"/>
    <w:rsid w:val="27D44D35"/>
    <w:rsid w:val="27EF0CE6"/>
    <w:rsid w:val="282219DE"/>
    <w:rsid w:val="282D67DD"/>
    <w:rsid w:val="28535100"/>
    <w:rsid w:val="287377A9"/>
    <w:rsid w:val="28977E55"/>
    <w:rsid w:val="289948F6"/>
    <w:rsid w:val="290941F0"/>
    <w:rsid w:val="293B4A2F"/>
    <w:rsid w:val="294B1A3C"/>
    <w:rsid w:val="29CA7FD5"/>
    <w:rsid w:val="29FD5E0C"/>
    <w:rsid w:val="2A5B77DD"/>
    <w:rsid w:val="2ADE30AB"/>
    <w:rsid w:val="2B024204"/>
    <w:rsid w:val="2B2612DB"/>
    <w:rsid w:val="2B3F4B30"/>
    <w:rsid w:val="2B44654F"/>
    <w:rsid w:val="2B7E5ED4"/>
    <w:rsid w:val="2C5F5E73"/>
    <w:rsid w:val="2C6E000A"/>
    <w:rsid w:val="2CA57B4F"/>
    <w:rsid w:val="2CB36170"/>
    <w:rsid w:val="2CB87A99"/>
    <w:rsid w:val="2CD92DC9"/>
    <w:rsid w:val="2CEB208C"/>
    <w:rsid w:val="2CF66568"/>
    <w:rsid w:val="2D2F35A5"/>
    <w:rsid w:val="2D4B0B43"/>
    <w:rsid w:val="2D727E59"/>
    <w:rsid w:val="2D95493B"/>
    <w:rsid w:val="2DD84A9B"/>
    <w:rsid w:val="2DE103EF"/>
    <w:rsid w:val="2DF03926"/>
    <w:rsid w:val="2E944389"/>
    <w:rsid w:val="2E9848E1"/>
    <w:rsid w:val="2ED470F9"/>
    <w:rsid w:val="2F111CAB"/>
    <w:rsid w:val="30266CB7"/>
    <w:rsid w:val="304B23F1"/>
    <w:rsid w:val="31090F16"/>
    <w:rsid w:val="31552B3E"/>
    <w:rsid w:val="31AD21E4"/>
    <w:rsid w:val="31DE368C"/>
    <w:rsid w:val="32510623"/>
    <w:rsid w:val="32ED1825"/>
    <w:rsid w:val="32F26F25"/>
    <w:rsid w:val="32FC3D29"/>
    <w:rsid w:val="331809B8"/>
    <w:rsid w:val="335F5F65"/>
    <w:rsid w:val="33772928"/>
    <w:rsid w:val="33DB24AF"/>
    <w:rsid w:val="33DD1EAD"/>
    <w:rsid w:val="33F33AFA"/>
    <w:rsid w:val="34802092"/>
    <w:rsid w:val="34D7691B"/>
    <w:rsid w:val="365901A2"/>
    <w:rsid w:val="36894442"/>
    <w:rsid w:val="36ED26B5"/>
    <w:rsid w:val="374A4F9A"/>
    <w:rsid w:val="377F6081"/>
    <w:rsid w:val="37B2285B"/>
    <w:rsid w:val="37C31BAD"/>
    <w:rsid w:val="37F37C82"/>
    <w:rsid w:val="38587A6A"/>
    <w:rsid w:val="386D035F"/>
    <w:rsid w:val="38A4728D"/>
    <w:rsid w:val="38AE05E3"/>
    <w:rsid w:val="38B25179"/>
    <w:rsid w:val="38C31FC5"/>
    <w:rsid w:val="38DA26C2"/>
    <w:rsid w:val="391208DF"/>
    <w:rsid w:val="39352EE5"/>
    <w:rsid w:val="398C1740"/>
    <w:rsid w:val="399938F9"/>
    <w:rsid w:val="39C221B1"/>
    <w:rsid w:val="39DA753C"/>
    <w:rsid w:val="3A1D7F28"/>
    <w:rsid w:val="3A6D10A7"/>
    <w:rsid w:val="3AE8345A"/>
    <w:rsid w:val="3B1003E1"/>
    <w:rsid w:val="3B75608D"/>
    <w:rsid w:val="3BA83FBF"/>
    <w:rsid w:val="3BB014AF"/>
    <w:rsid w:val="3BBE5CA8"/>
    <w:rsid w:val="3C171467"/>
    <w:rsid w:val="3C846B50"/>
    <w:rsid w:val="3D7F139C"/>
    <w:rsid w:val="3D875D74"/>
    <w:rsid w:val="3DFF4432"/>
    <w:rsid w:val="3E3F70D9"/>
    <w:rsid w:val="3E4068D9"/>
    <w:rsid w:val="3EAB772C"/>
    <w:rsid w:val="3F3D5422"/>
    <w:rsid w:val="3FB31C8F"/>
    <w:rsid w:val="3FD0357F"/>
    <w:rsid w:val="402C2EA7"/>
    <w:rsid w:val="402F1AB0"/>
    <w:rsid w:val="402F7869"/>
    <w:rsid w:val="405B19D8"/>
    <w:rsid w:val="406279D7"/>
    <w:rsid w:val="406D4CCA"/>
    <w:rsid w:val="40D57E05"/>
    <w:rsid w:val="41B90B1C"/>
    <w:rsid w:val="42651133"/>
    <w:rsid w:val="43FB453E"/>
    <w:rsid w:val="444735FC"/>
    <w:rsid w:val="446E7DEA"/>
    <w:rsid w:val="44740469"/>
    <w:rsid w:val="44D44BBE"/>
    <w:rsid w:val="44E81669"/>
    <w:rsid w:val="44F64580"/>
    <w:rsid w:val="45A12FF6"/>
    <w:rsid w:val="46E12B87"/>
    <w:rsid w:val="47233A38"/>
    <w:rsid w:val="47406F55"/>
    <w:rsid w:val="47496864"/>
    <w:rsid w:val="480613B9"/>
    <w:rsid w:val="482172DA"/>
    <w:rsid w:val="486B26A1"/>
    <w:rsid w:val="48E9101C"/>
    <w:rsid w:val="492C541D"/>
    <w:rsid w:val="49BE4018"/>
    <w:rsid w:val="4AA15BA7"/>
    <w:rsid w:val="4ACE5C34"/>
    <w:rsid w:val="4AFB41C1"/>
    <w:rsid w:val="4AFE1F4C"/>
    <w:rsid w:val="4B160F07"/>
    <w:rsid w:val="4B37233D"/>
    <w:rsid w:val="4B40031F"/>
    <w:rsid w:val="4B525677"/>
    <w:rsid w:val="4B7859E2"/>
    <w:rsid w:val="4BC123A0"/>
    <w:rsid w:val="4BD96D91"/>
    <w:rsid w:val="4C3E0314"/>
    <w:rsid w:val="4C3E0482"/>
    <w:rsid w:val="4C512220"/>
    <w:rsid w:val="4D8431E6"/>
    <w:rsid w:val="4D953824"/>
    <w:rsid w:val="4E095599"/>
    <w:rsid w:val="4E6E5AA0"/>
    <w:rsid w:val="4F102DE1"/>
    <w:rsid w:val="4F235162"/>
    <w:rsid w:val="508C2688"/>
    <w:rsid w:val="50DB62CE"/>
    <w:rsid w:val="511E7382"/>
    <w:rsid w:val="519B3344"/>
    <w:rsid w:val="51A81065"/>
    <w:rsid w:val="520A366D"/>
    <w:rsid w:val="526D33E3"/>
    <w:rsid w:val="53017FB9"/>
    <w:rsid w:val="53407977"/>
    <w:rsid w:val="53536E98"/>
    <w:rsid w:val="537354E4"/>
    <w:rsid w:val="53841ACB"/>
    <w:rsid w:val="53A1677C"/>
    <w:rsid w:val="54054A99"/>
    <w:rsid w:val="540A0D4E"/>
    <w:rsid w:val="547B5EBC"/>
    <w:rsid w:val="549102F3"/>
    <w:rsid w:val="54B21120"/>
    <w:rsid w:val="550A2BF2"/>
    <w:rsid w:val="557D312E"/>
    <w:rsid w:val="55D629ED"/>
    <w:rsid w:val="56506874"/>
    <w:rsid w:val="56A943AA"/>
    <w:rsid w:val="56B910AA"/>
    <w:rsid w:val="57313288"/>
    <w:rsid w:val="58260D9E"/>
    <w:rsid w:val="58846CA3"/>
    <w:rsid w:val="58B237C7"/>
    <w:rsid w:val="58BC3071"/>
    <w:rsid w:val="58EE7874"/>
    <w:rsid w:val="59F42F86"/>
    <w:rsid w:val="59FC0AAE"/>
    <w:rsid w:val="59FE1B44"/>
    <w:rsid w:val="5A725AC3"/>
    <w:rsid w:val="5AC64F62"/>
    <w:rsid w:val="5AE76118"/>
    <w:rsid w:val="5B1877CC"/>
    <w:rsid w:val="5B611443"/>
    <w:rsid w:val="5B6A32AA"/>
    <w:rsid w:val="5C042C1B"/>
    <w:rsid w:val="5C6C7103"/>
    <w:rsid w:val="5C6F0F71"/>
    <w:rsid w:val="5C8749DD"/>
    <w:rsid w:val="5DE349DD"/>
    <w:rsid w:val="5E8B50AC"/>
    <w:rsid w:val="5EAD250A"/>
    <w:rsid w:val="5EC36EC4"/>
    <w:rsid w:val="5ED04C4C"/>
    <w:rsid w:val="5F0C702A"/>
    <w:rsid w:val="5F622211"/>
    <w:rsid w:val="5FAB3486"/>
    <w:rsid w:val="5FDC5A29"/>
    <w:rsid w:val="607B71AB"/>
    <w:rsid w:val="608D522F"/>
    <w:rsid w:val="609030ED"/>
    <w:rsid w:val="609672CE"/>
    <w:rsid w:val="61681EA7"/>
    <w:rsid w:val="61C93E69"/>
    <w:rsid w:val="61D249ED"/>
    <w:rsid w:val="61E47D01"/>
    <w:rsid w:val="62565F27"/>
    <w:rsid w:val="628A3D3C"/>
    <w:rsid w:val="62F80480"/>
    <w:rsid w:val="630E39F2"/>
    <w:rsid w:val="63237547"/>
    <w:rsid w:val="632A37CC"/>
    <w:rsid w:val="63E41FBA"/>
    <w:rsid w:val="63FB6B45"/>
    <w:rsid w:val="643424B0"/>
    <w:rsid w:val="64607222"/>
    <w:rsid w:val="64797B11"/>
    <w:rsid w:val="64902DCD"/>
    <w:rsid w:val="657B4185"/>
    <w:rsid w:val="65B91DAC"/>
    <w:rsid w:val="65C35648"/>
    <w:rsid w:val="66EE1049"/>
    <w:rsid w:val="67052726"/>
    <w:rsid w:val="671367FA"/>
    <w:rsid w:val="67693C2E"/>
    <w:rsid w:val="67A30912"/>
    <w:rsid w:val="67B824F6"/>
    <w:rsid w:val="67C96D31"/>
    <w:rsid w:val="69967667"/>
    <w:rsid w:val="6A285D00"/>
    <w:rsid w:val="6A591B48"/>
    <w:rsid w:val="6B3839C0"/>
    <w:rsid w:val="6BB32498"/>
    <w:rsid w:val="6C78427E"/>
    <w:rsid w:val="6CDE7624"/>
    <w:rsid w:val="6D0F3C7D"/>
    <w:rsid w:val="6D6F276F"/>
    <w:rsid w:val="6DD56F9C"/>
    <w:rsid w:val="6E08508B"/>
    <w:rsid w:val="6E17291A"/>
    <w:rsid w:val="6E5F3041"/>
    <w:rsid w:val="6E943F43"/>
    <w:rsid w:val="6EFB3F03"/>
    <w:rsid w:val="6F7A4952"/>
    <w:rsid w:val="6F8170D5"/>
    <w:rsid w:val="6FBB6C58"/>
    <w:rsid w:val="70294D59"/>
    <w:rsid w:val="702F051E"/>
    <w:rsid w:val="70363BED"/>
    <w:rsid w:val="703A7BFC"/>
    <w:rsid w:val="722E4466"/>
    <w:rsid w:val="72603494"/>
    <w:rsid w:val="72693F5B"/>
    <w:rsid w:val="72D24A7B"/>
    <w:rsid w:val="73A40AA8"/>
    <w:rsid w:val="743A2838"/>
    <w:rsid w:val="74714D8D"/>
    <w:rsid w:val="74DD2160"/>
    <w:rsid w:val="74E160F8"/>
    <w:rsid w:val="752E5CD5"/>
    <w:rsid w:val="75750A98"/>
    <w:rsid w:val="75975280"/>
    <w:rsid w:val="76105DE9"/>
    <w:rsid w:val="76457039"/>
    <w:rsid w:val="76712F65"/>
    <w:rsid w:val="77251F25"/>
    <w:rsid w:val="777B5640"/>
    <w:rsid w:val="7789593F"/>
    <w:rsid w:val="77CC3311"/>
    <w:rsid w:val="78324C2E"/>
    <w:rsid w:val="7862539B"/>
    <w:rsid w:val="78834111"/>
    <w:rsid w:val="791F0287"/>
    <w:rsid w:val="79985CAD"/>
    <w:rsid w:val="79BF26F5"/>
    <w:rsid w:val="7A1B0909"/>
    <w:rsid w:val="7A2A5AC8"/>
    <w:rsid w:val="7A4028A8"/>
    <w:rsid w:val="7ABF543B"/>
    <w:rsid w:val="7B3C4E0C"/>
    <w:rsid w:val="7B406628"/>
    <w:rsid w:val="7B6946F8"/>
    <w:rsid w:val="7BA01A15"/>
    <w:rsid w:val="7BE55C9F"/>
    <w:rsid w:val="7C304EE5"/>
    <w:rsid w:val="7C417299"/>
    <w:rsid w:val="7C894023"/>
    <w:rsid w:val="7CA82B68"/>
    <w:rsid w:val="7CE37FC1"/>
    <w:rsid w:val="7D111FD3"/>
    <w:rsid w:val="7D1D5C9D"/>
    <w:rsid w:val="7E1A2FD5"/>
    <w:rsid w:val="7E9A7FFB"/>
    <w:rsid w:val="7F44215C"/>
    <w:rsid w:val="7F6E6289"/>
    <w:rsid w:val="7F964CDE"/>
    <w:rsid w:val="7FA556F2"/>
    <w:rsid w:val="7FFF5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2795</Words>
  <Characters>2885</Characters>
  <Lines>0</Lines>
  <Paragraphs>0</Paragraphs>
  <TotalTime>10</TotalTime>
  <ScaleCrop>false</ScaleCrop>
  <LinksUpToDate>false</LinksUpToDate>
  <CharactersWithSpaces>2890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dc:creator>
  <cp:lastModifiedBy>iezii</cp:lastModifiedBy>
  <dcterms:modified xsi:type="dcterms:W3CDTF">2023-01-16T03:39:49Z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BE0C6EF0539E4CCB93FFAB3B4B96292A</vt:lpwstr>
  </property>
</Properties>
</file>