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cs="Times New Roman"/>
          <w:b/>
          <w:sz w:val="36"/>
          <w:szCs w:val="36"/>
        </w:rPr>
      </w:pPr>
    </w:p>
    <w:p>
      <w:pPr>
        <w:jc w:val="center"/>
        <w:rPr>
          <w:rFonts w:ascii="Times New Roman" w:cs="Times New Roman"/>
          <w:b/>
          <w:sz w:val="36"/>
          <w:szCs w:val="36"/>
        </w:rPr>
      </w:pPr>
      <w:r>
        <w:rPr>
          <w:rFonts w:hint="eastAsia" w:ascii="Times New Roman" w:cs="Times New Roman"/>
          <w:b/>
          <w:sz w:val="36"/>
          <w:szCs w:val="36"/>
        </w:rPr>
        <w:t>宿州市治理超限超载管理处</w:t>
      </w:r>
      <w:r>
        <w:rPr>
          <w:rFonts w:ascii="Times New Roman" w:cs="Times New Roman"/>
          <w:b/>
          <w:sz w:val="36"/>
          <w:szCs w:val="36"/>
        </w:rPr>
        <w:t>202</w:t>
      </w:r>
      <w:r>
        <w:rPr>
          <w:rFonts w:hint="eastAsia" w:ascii="Times New Roman" w:cs="Times New Roman"/>
          <w:b/>
          <w:sz w:val="36"/>
          <w:szCs w:val="36"/>
          <w:lang w:val="en-US" w:eastAsia="zh-CN"/>
        </w:rPr>
        <w:t>2</w:t>
      </w:r>
      <w:r>
        <w:rPr>
          <w:rFonts w:ascii="Times New Roman" w:cs="Times New Roman"/>
          <w:b/>
          <w:sz w:val="36"/>
          <w:szCs w:val="36"/>
        </w:rPr>
        <w:t>年度</w:t>
      </w:r>
    </w:p>
    <w:p>
      <w:pPr>
        <w:jc w:val="center"/>
        <w:rPr>
          <w:rFonts w:ascii="Times New Roman" w:hAnsi="Times New Roman" w:cs="Times New Roman"/>
          <w:b/>
          <w:sz w:val="36"/>
          <w:szCs w:val="36"/>
        </w:rPr>
      </w:pPr>
      <w:r>
        <w:rPr>
          <w:rFonts w:ascii="Times New Roman" w:cs="Times New Roman"/>
          <w:b/>
          <w:sz w:val="36"/>
          <w:szCs w:val="36"/>
        </w:rPr>
        <w:t>单位整体支出绩效评价报告</w:t>
      </w:r>
    </w:p>
    <w:p>
      <w:pPr>
        <w:ind w:firstLine="2625" w:firstLineChars="1250"/>
        <w:rPr>
          <w:szCs w:val="21"/>
        </w:rPr>
      </w:pPr>
      <w:r>
        <w:rPr>
          <w:rFonts w:hint="eastAsia"/>
          <w:szCs w:val="21"/>
        </w:rPr>
        <w:t>皖同信审字【202</w:t>
      </w:r>
      <w:r>
        <w:rPr>
          <w:rFonts w:hint="eastAsia"/>
          <w:szCs w:val="21"/>
          <w:lang w:val="en-US" w:eastAsia="zh-CN"/>
        </w:rPr>
        <w:t>3</w:t>
      </w:r>
      <w:r>
        <w:rPr>
          <w:rFonts w:hint="eastAsia"/>
          <w:szCs w:val="21"/>
        </w:rPr>
        <w:t>】</w:t>
      </w:r>
      <w:r>
        <w:rPr>
          <w:rFonts w:hint="eastAsia"/>
          <w:szCs w:val="21"/>
          <w:lang w:val="en-US" w:eastAsia="zh-CN"/>
        </w:rPr>
        <w:t>030-1</w:t>
      </w:r>
      <w:r>
        <w:rPr>
          <w:rFonts w:hint="eastAsia"/>
          <w:szCs w:val="21"/>
        </w:rPr>
        <w:t>号</w:t>
      </w:r>
    </w:p>
    <w:p>
      <w:pPr>
        <w:rPr>
          <w:rFonts w:ascii="Times New Roman" w:hAnsi="Times New Roman" w:cs="Times New Roman"/>
          <w:sz w:val="36"/>
          <w:szCs w:val="36"/>
        </w:rPr>
      </w:pPr>
      <w:bookmarkStart w:id="0" w:name="_GoBack"/>
      <w:bookmarkEnd w:id="0"/>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rPr>
          <w:rFonts w:ascii="Times New Roman" w:hAnsi="Times New Roman" w:cs="Times New Roman"/>
          <w:sz w:val="36"/>
          <w:szCs w:val="36"/>
        </w:rPr>
      </w:pPr>
    </w:p>
    <w:p>
      <w:pPr>
        <w:tabs>
          <w:tab w:val="left" w:pos="1380"/>
        </w:tabs>
        <w:rPr>
          <w:rFonts w:ascii="Times New Roman" w:hAnsi="Times New Roman" w:cs="Times New Roman"/>
          <w:b/>
          <w:sz w:val="30"/>
          <w:szCs w:val="30"/>
        </w:rPr>
      </w:pPr>
      <w:r>
        <w:rPr>
          <w:rFonts w:ascii="Times New Roman" w:hAnsi="Times New Roman" w:cs="Times New Roman"/>
          <w:sz w:val="36"/>
          <w:szCs w:val="36"/>
        </w:rPr>
        <w:t xml:space="preserve">      </w:t>
      </w:r>
      <w:r>
        <w:rPr>
          <w:rFonts w:ascii="Times New Roman" w:hAnsi="Times New Roman" w:cs="Times New Roman"/>
          <w:b/>
          <w:sz w:val="36"/>
          <w:szCs w:val="36"/>
        </w:rPr>
        <w:t xml:space="preserve">  </w:t>
      </w:r>
      <w:r>
        <w:rPr>
          <w:rFonts w:ascii="Times New Roman" w:cs="Times New Roman"/>
          <w:b/>
          <w:sz w:val="30"/>
          <w:szCs w:val="30"/>
        </w:rPr>
        <w:t>项目单位：</w:t>
      </w:r>
      <w:r>
        <w:rPr>
          <w:rFonts w:ascii="Times New Roman" w:hAnsi="Times New Roman" w:cs="Times New Roman"/>
          <w:b/>
          <w:sz w:val="30"/>
          <w:szCs w:val="30"/>
        </w:rPr>
        <w:t xml:space="preserve">  </w:t>
      </w:r>
      <w:r>
        <w:rPr>
          <w:rFonts w:hint="eastAsia" w:ascii="Times New Roman" w:cs="Times New Roman"/>
          <w:b/>
          <w:sz w:val="30"/>
          <w:szCs w:val="30"/>
        </w:rPr>
        <w:t>宿州市治理超限超载管理处</w:t>
      </w:r>
      <w:r>
        <w:rPr>
          <w:rFonts w:ascii="Times New Roman" w:hAnsi="Times New Roman" w:cs="Times New Roman"/>
          <w:b/>
          <w:sz w:val="30"/>
          <w:szCs w:val="30"/>
        </w:rPr>
        <w:t xml:space="preserve">        </w:t>
      </w:r>
    </w:p>
    <w:p>
      <w:pPr>
        <w:tabs>
          <w:tab w:val="left" w:pos="1380"/>
        </w:tabs>
        <w:ind w:firstLine="1193" w:firstLineChars="396"/>
        <w:rPr>
          <w:rFonts w:ascii="Times New Roman" w:hAnsi="Times New Roman" w:cs="Times New Roman"/>
          <w:b/>
          <w:sz w:val="30"/>
          <w:szCs w:val="30"/>
        </w:rPr>
      </w:pPr>
      <w:r>
        <w:rPr>
          <w:rFonts w:ascii="Times New Roman" w:hAnsi="Times New Roman" w:cs="Times New Roman"/>
          <w:b/>
          <w:sz w:val="30"/>
          <w:szCs w:val="30"/>
        </w:rPr>
        <w:t xml:space="preserve"> </w:t>
      </w:r>
      <w:r>
        <w:rPr>
          <w:rFonts w:ascii="Times New Roman" w:cs="Times New Roman"/>
          <w:b/>
          <w:sz w:val="30"/>
          <w:szCs w:val="30"/>
        </w:rPr>
        <w:t>主管部门：</w:t>
      </w:r>
      <w:r>
        <w:rPr>
          <w:rFonts w:ascii="Times New Roman" w:hAnsi="Times New Roman" w:cs="Times New Roman"/>
          <w:b/>
          <w:sz w:val="30"/>
          <w:szCs w:val="30"/>
        </w:rPr>
        <w:t xml:space="preserve">   </w:t>
      </w:r>
      <w:r>
        <w:rPr>
          <w:rFonts w:ascii="Times New Roman" w:cs="Times New Roman"/>
          <w:b/>
          <w:sz w:val="30"/>
          <w:szCs w:val="30"/>
        </w:rPr>
        <w:t>宿州市</w:t>
      </w:r>
      <w:r>
        <w:rPr>
          <w:rFonts w:hint="eastAsia" w:ascii="Times New Roman" w:cs="Times New Roman"/>
          <w:b/>
          <w:sz w:val="30"/>
          <w:szCs w:val="30"/>
        </w:rPr>
        <w:t>交通运输局</w:t>
      </w:r>
    </w:p>
    <w:p>
      <w:pPr>
        <w:tabs>
          <w:tab w:val="left" w:pos="1380"/>
        </w:tabs>
        <w:rPr>
          <w:rFonts w:ascii="Times New Roman" w:hAnsi="Times New Roman" w:cs="Times New Roman"/>
          <w:b/>
          <w:sz w:val="30"/>
          <w:szCs w:val="30"/>
        </w:rPr>
      </w:pPr>
      <w:r>
        <w:rPr>
          <w:rFonts w:ascii="Times New Roman" w:hAnsi="Times New Roman" w:cs="Times New Roman"/>
          <w:b/>
          <w:sz w:val="36"/>
          <w:szCs w:val="36"/>
        </w:rPr>
        <w:tab/>
      </w:r>
      <w:r>
        <w:rPr>
          <w:rFonts w:ascii="Times New Roman" w:cs="Times New Roman"/>
          <w:b/>
          <w:sz w:val="30"/>
          <w:szCs w:val="30"/>
        </w:rPr>
        <w:t>评价机构：</w:t>
      </w:r>
      <w:r>
        <w:rPr>
          <w:rFonts w:ascii="Times New Roman" w:hAnsi="Times New Roman" w:cs="Times New Roman"/>
          <w:b/>
          <w:sz w:val="30"/>
          <w:szCs w:val="30"/>
        </w:rPr>
        <w:t xml:space="preserve">  </w:t>
      </w:r>
      <w:r>
        <w:rPr>
          <w:rFonts w:hint="eastAsia" w:ascii="Times New Roman" w:hAnsi="Times New Roman" w:cs="Times New Roman"/>
          <w:b/>
          <w:sz w:val="30"/>
          <w:szCs w:val="30"/>
        </w:rPr>
        <w:t xml:space="preserve"> </w:t>
      </w:r>
      <w:r>
        <w:rPr>
          <w:rFonts w:ascii="Times New Roman" w:cs="Times New Roman"/>
          <w:b/>
          <w:sz w:val="30"/>
          <w:szCs w:val="30"/>
        </w:rPr>
        <w:t>安徽同信会计师事务所</w:t>
      </w:r>
      <w:r>
        <w:rPr>
          <w:rFonts w:hint="eastAsia" w:ascii="Times New Roman" w:cs="Times New Roman"/>
          <w:b/>
          <w:sz w:val="30"/>
          <w:szCs w:val="30"/>
        </w:rPr>
        <w:t>（</w:t>
      </w:r>
      <w:r>
        <w:rPr>
          <w:rFonts w:ascii="Times New Roman" w:cs="Times New Roman"/>
          <w:b/>
          <w:sz w:val="30"/>
          <w:szCs w:val="30"/>
        </w:rPr>
        <w:t>普通合伙</w:t>
      </w:r>
      <w:r>
        <w:rPr>
          <w:rFonts w:hint="eastAsia" w:ascii="Times New Roman" w:cs="Times New Roman"/>
          <w:b/>
          <w:sz w:val="30"/>
          <w:szCs w:val="30"/>
        </w:rPr>
        <w:t>）</w:t>
      </w:r>
    </w:p>
    <w:p>
      <w:pPr>
        <w:rPr>
          <w:rFonts w:ascii="Times New Roman" w:hAnsi="Times New Roman" w:cs="Times New Roman"/>
          <w:b/>
          <w:sz w:val="30"/>
          <w:szCs w:val="30"/>
        </w:rPr>
      </w:pPr>
      <w:r>
        <w:rPr>
          <w:rFonts w:ascii="Times New Roman" w:hAnsi="Times New Roman" w:cs="Times New Roman"/>
          <w:b/>
          <w:sz w:val="30"/>
          <w:szCs w:val="30"/>
        </w:rPr>
        <w:t xml:space="preserve">                  202</w:t>
      </w:r>
      <w:r>
        <w:rPr>
          <w:rFonts w:hint="eastAsia" w:ascii="Times New Roman" w:hAnsi="Times New Roman" w:cs="Times New Roman"/>
          <w:b/>
          <w:sz w:val="30"/>
          <w:szCs w:val="30"/>
          <w:lang w:val="en-US" w:eastAsia="zh-CN"/>
        </w:rPr>
        <w:t>3</w:t>
      </w:r>
      <w:r>
        <w:rPr>
          <w:rFonts w:ascii="Times New Roman" w:cs="Times New Roman"/>
          <w:b/>
          <w:sz w:val="30"/>
          <w:szCs w:val="30"/>
        </w:rPr>
        <w:t>年</w:t>
      </w:r>
      <w:r>
        <w:rPr>
          <w:rFonts w:hint="eastAsia" w:ascii="Times New Roman" w:hAnsi="Times New Roman" w:cs="Times New Roman"/>
          <w:b/>
          <w:sz w:val="30"/>
          <w:szCs w:val="30"/>
          <w:lang w:val="en-US" w:eastAsia="zh-CN"/>
        </w:rPr>
        <w:t>4</w:t>
      </w:r>
      <w:r>
        <w:rPr>
          <w:rFonts w:ascii="Times New Roman" w:cs="Times New Roman"/>
          <w:b/>
          <w:sz w:val="30"/>
          <w:szCs w:val="30"/>
        </w:rPr>
        <w:t>月</w:t>
      </w:r>
      <w:r>
        <w:rPr>
          <w:rFonts w:hint="eastAsia" w:ascii="Times New Roman" w:hAnsi="Times New Roman" w:cs="Times New Roman"/>
          <w:b/>
          <w:sz w:val="30"/>
          <w:szCs w:val="30"/>
          <w:lang w:val="en-US" w:eastAsia="zh-CN"/>
        </w:rPr>
        <w:t>10</w:t>
      </w:r>
      <w:r>
        <w:rPr>
          <w:rFonts w:ascii="Times New Roman" w:cs="Times New Roman"/>
          <w:b/>
          <w:sz w:val="30"/>
          <w:szCs w:val="30"/>
        </w:rPr>
        <w:t>日</w:t>
      </w:r>
    </w:p>
    <w:p>
      <w:pPr>
        <w:rPr>
          <w:rFonts w:ascii="Times New Roman" w:hAnsi="Times New Roman" w:cs="Times New Roman"/>
          <w:sz w:val="30"/>
          <w:szCs w:val="30"/>
        </w:rPr>
      </w:pPr>
      <w:r>
        <w:rPr>
          <w:rFonts w:ascii="Times New Roman" w:hAnsi="Times New Roman" w:cs="Times New Roman"/>
          <w:sz w:val="30"/>
          <w:szCs w:val="30"/>
        </w:rPr>
        <w:t xml:space="preserve">           </w:t>
      </w:r>
    </w:p>
    <w:p>
      <w:pPr>
        <w:rPr>
          <w:rFonts w:ascii="Times New Roman" w:hAnsi="Times New Roman" w:cs="Times New Roman"/>
          <w:sz w:val="30"/>
          <w:szCs w:val="30"/>
        </w:rPr>
      </w:pPr>
    </w:p>
    <w:p>
      <w:pPr>
        <w:rPr>
          <w:rFonts w:ascii="Times New Roman" w:hAnsi="Times New Roman" w:cs="Times New Roman"/>
          <w:sz w:val="30"/>
          <w:szCs w:val="30"/>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ind w:firstLine="1428" w:firstLineChars="395"/>
        <w:rPr>
          <w:rFonts w:ascii="Times New Roman" w:cs="Times New Roman"/>
          <w:b/>
          <w:sz w:val="36"/>
          <w:szCs w:val="36"/>
        </w:rPr>
      </w:pPr>
      <w:r>
        <w:rPr>
          <w:rFonts w:hint="eastAsia" w:ascii="Times New Roman" w:cs="Times New Roman"/>
          <w:b/>
          <w:sz w:val="36"/>
          <w:szCs w:val="36"/>
        </w:rPr>
        <w:t>宿州市治理超限超载管理处202</w:t>
      </w:r>
      <w:r>
        <w:rPr>
          <w:rFonts w:hint="eastAsia" w:ascii="Times New Roman" w:cs="Times New Roman"/>
          <w:b/>
          <w:sz w:val="36"/>
          <w:szCs w:val="36"/>
          <w:lang w:val="en-US" w:eastAsia="zh-CN"/>
        </w:rPr>
        <w:t>2</w:t>
      </w:r>
      <w:r>
        <w:rPr>
          <w:rFonts w:hint="eastAsia" w:ascii="Times New Roman" w:cs="Times New Roman"/>
          <w:b/>
          <w:sz w:val="36"/>
          <w:szCs w:val="36"/>
        </w:rPr>
        <w:t>年度</w:t>
      </w:r>
    </w:p>
    <w:p>
      <w:pPr>
        <w:ind w:firstLine="2150" w:firstLineChars="595"/>
        <w:rPr>
          <w:rFonts w:ascii="Times New Roman" w:hAnsi="Times New Roman" w:cs="Times New Roman"/>
          <w:b/>
          <w:sz w:val="36"/>
          <w:szCs w:val="36"/>
        </w:rPr>
      </w:pPr>
      <w:r>
        <w:rPr>
          <w:rFonts w:hint="eastAsia" w:ascii="Times New Roman" w:cs="Times New Roman"/>
          <w:b/>
          <w:sz w:val="36"/>
          <w:szCs w:val="36"/>
        </w:rPr>
        <w:t>单位</w:t>
      </w:r>
      <w:r>
        <w:rPr>
          <w:rFonts w:ascii="Times New Roman" w:cs="Times New Roman"/>
          <w:b/>
          <w:sz w:val="36"/>
          <w:szCs w:val="36"/>
        </w:rPr>
        <w:t>整体支出绩效评价报告</w:t>
      </w:r>
    </w:p>
    <w:p>
      <w:pPr>
        <w:autoSpaceDE w:val="0"/>
        <w:autoSpaceDN w:val="0"/>
        <w:adjustRightInd w:val="0"/>
        <w:jc w:val="left"/>
        <w:rPr>
          <w:rFonts w:hint="eastAsia" w:ascii="Times New Roman" w:hAnsi="DJMRCP+FangSong_GB2312" w:cs="Times New Roman"/>
          <w:color w:val="000000"/>
          <w:szCs w:val="21"/>
        </w:rPr>
      </w:pPr>
      <w:r>
        <w:rPr>
          <w:rFonts w:hint="eastAsia" w:ascii="Times New Roman" w:hAnsi="DJMRCP+FangSong_GB2312" w:cs="Times New Roman"/>
          <w:color w:val="000000"/>
          <w:sz w:val="28"/>
        </w:rPr>
        <w:t xml:space="preserve">                  </w:t>
      </w:r>
      <w:r>
        <w:rPr>
          <w:rFonts w:hint="eastAsia" w:ascii="Times New Roman" w:hAnsi="DJMRCP+FangSong_GB2312" w:cs="Times New Roman"/>
          <w:color w:val="000000"/>
          <w:szCs w:val="21"/>
          <w:highlight w:val="none"/>
        </w:rPr>
        <w:t xml:space="preserve">  皖同信审字【2022】</w:t>
      </w:r>
      <w:r>
        <w:rPr>
          <w:rFonts w:hint="eastAsia" w:ascii="Times New Roman" w:hAnsi="DJMRCP+FangSong_GB2312" w:cs="Times New Roman"/>
          <w:color w:val="000000"/>
          <w:szCs w:val="21"/>
          <w:highlight w:val="none"/>
          <w:lang w:val="en-US" w:eastAsia="zh-CN"/>
        </w:rPr>
        <w:t>030-1</w:t>
      </w:r>
      <w:r>
        <w:rPr>
          <w:rFonts w:hint="eastAsia" w:ascii="Times New Roman" w:hAnsi="DJMRCP+FangSong_GB2312" w:cs="Times New Roman"/>
          <w:color w:val="000000"/>
          <w:szCs w:val="21"/>
          <w:highlight w:val="none"/>
        </w:rPr>
        <w:t>号</w:t>
      </w:r>
    </w:p>
    <w:p>
      <w:pPr>
        <w:autoSpaceDE w:val="0"/>
        <w:autoSpaceDN w:val="0"/>
        <w:adjustRightInd w:val="0"/>
        <w:jc w:val="left"/>
        <w:rPr>
          <w:rFonts w:hint="eastAsia" w:ascii="Times New Roman" w:hAnsi="DJMRCP+FangSong_GB2312" w:cs="Times New Roman"/>
          <w:color w:val="000000"/>
          <w:sz w:val="28"/>
        </w:rPr>
      </w:pPr>
    </w:p>
    <w:p>
      <w:pPr>
        <w:autoSpaceDE w:val="0"/>
        <w:autoSpaceDN w:val="0"/>
        <w:adjustRightInd w:val="0"/>
        <w:ind w:firstLine="560" w:firstLineChars="200"/>
        <w:jc w:val="left"/>
        <w:rPr>
          <w:rFonts w:hint="eastAsia" w:ascii="Times New Roman" w:hAnsi="DJMRCP+FangSong_GB2312" w:cs="Times New Roman"/>
          <w:color w:val="000000"/>
          <w:sz w:val="28"/>
        </w:rPr>
      </w:pPr>
      <w:r>
        <w:rPr>
          <w:rFonts w:ascii="Times New Roman" w:hAnsi="DJMRCP+FangSong_GB2312" w:cs="Times New Roman"/>
          <w:color w:val="000000"/>
          <w:sz w:val="28"/>
        </w:rPr>
        <w:t>根据《中华人民共和国预算法》《关于贯彻落实〈中共中央国务院关于全面实施预算绩效管理的意见〉的通知》（财预【</w:t>
      </w:r>
      <w:r>
        <w:rPr>
          <w:rFonts w:ascii="Times New Roman" w:hAnsi="Times New Roman" w:cs="Times New Roman"/>
          <w:color w:val="000000"/>
          <w:sz w:val="28"/>
        </w:rPr>
        <w:t>2018</w:t>
      </w:r>
      <w:r>
        <w:rPr>
          <w:rFonts w:ascii="Times New Roman" w:hAnsi="DJMRCP+FangSong_GB2312" w:cs="Times New Roman"/>
          <w:color w:val="000000"/>
          <w:sz w:val="28"/>
        </w:rPr>
        <w:t>】</w:t>
      </w:r>
      <w:r>
        <w:rPr>
          <w:rFonts w:ascii="Times New Roman" w:hAnsi="Times New Roman" w:cs="Times New Roman"/>
          <w:color w:val="000000"/>
          <w:sz w:val="28"/>
        </w:rPr>
        <w:t>167</w:t>
      </w:r>
      <w:r>
        <w:rPr>
          <w:rFonts w:ascii="Times New Roman" w:hAnsi="DJMRCP+FangSong_GB2312" w:cs="Times New Roman"/>
          <w:color w:val="000000"/>
          <w:sz w:val="28"/>
        </w:rPr>
        <w:t>号）《中共安徽省委</w:t>
      </w:r>
      <w:r>
        <w:rPr>
          <w:rFonts w:ascii="Times New Roman" w:hAnsi="Times New Roman" w:cs="Times New Roman"/>
          <w:color w:val="000000"/>
          <w:sz w:val="28"/>
        </w:rPr>
        <w:t xml:space="preserve"> </w:t>
      </w:r>
      <w:r>
        <w:rPr>
          <w:rFonts w:ascii="Times New Roman" w:hAnsi="DJMRCP+FangSong_GB2312" w:cs="Times New Roman"/>
          <w:color w:val="000000"/>
          <w:sz w:val="28"/>
        </w:rPr>
        <w:t>安徽省人民政府关于全面实施预算绩效管理的实施意见》（皖发【</w:t>
      </w:r>
      <w:r>
        <w:rPr>
          <w:rFonts w:ascii="Times New Roman" w:hAnsi="Times New Roman" w:cs="Times New Roman"/>
          <w:color w:val="000000"/>
          <w:sz w:val="28"/>
        </w:rPr>
        <w:t>2019</w:t>
      </w:r>
      <w:r>
        <w:rPr>
          <w:rFonts w:ascii="Times New Roman" w:hAnsi="DJMRCP+FangSong_GB2312" w:cs="Times New Roman"/>
          <w:color w:val="000000"/>
          <w:sz w:val="28"/>
        </w:rPr>
        <w:t>】</w:t>
      </w:r>
      <w:r>
        <w:rPr>
          <w:rFonts w:ascii="Times New Roman" w:hAnsi="Times New Roman" w:cs="Times New Roman"/>
          <w:color w:val="000000"/>
          <w:sz w:val="28"/>
        </w:rPr>
        <w:t>11</w:t>
      </w:r>
      <w:r>
        <w:rPr>
          <w:rFonts w:ascii="Times New Roman" w:hAnsi="DJMRCP+FangSong_GB2312" w:cs="Times New Roman"/>
          <w:color w:val="000000"/>
          <w:sz w:val="28"/>
        </w:rPr>
        <w:t>号）和《宿州市财政局关于开展</w:t>
      </w:r>
      <w:r>
        <w:rPr>
          <w:rFonts w:ascii="Times New Roman" w:hAnsi="Times New Roman" w:cs="Times New Roman"/>
          <w:color w:val="000000"/>
          <w:sz w:val="28"/>
        </w:rPr>
        <w:t>2022</w:t>
      </w:r>
      <w:r>
        <w:rPr>
          <w:rFonts w:ascii="Times New Roman" w:hAnsi="DJMRCP+FangSong_GB2312" w:cs="Times New Roman"/>
          <w:color w:val="000000"/>
          <w:sz w:val="28"/>
        </w:rPr>
        <w:t>年市级预算支出绩效评价工作的通知》等法规、文件精神，受宿州市交通运输局（以下简称</w:t>
      </w:r>
      <w:r>
        <w:rPr>
          <w:rFonts w:ascii="Times New Roman" w:hAnsi="Times New Roman" w:cs="Times New Roman"/>
          <w:color w:val="000000"/>
          <w:sz w:val="28"/>
        </w:rPr>
        <w:t>“</w:t>
      </w:r>
      <w:r>
        <w:rPr>
          <w:rFonts w:ascii="Times New Roman" w:hAnsi="DJMRCP+FangSong_GB2312" w:cs="Times New Roman"/>
          <w:color w:val="000000"/>
          <w:sz w:val="28"/>
        </w:rPr>
        <w:t>市交通局</w:t>
      </w:r>
      <w:r>
        <w:rPr>
          <w:rFonts w:ascii="Times New Roman" w:hAnsi="Times New Roman" w:cs="Times New Roman"/>
          <w:color w:val="000000"/>
          <w:sz w:val="28"/>
        </w:rPr>
        <w:t>”</w:t>
      </w:r>
      <w:r>
        <w:rPr>
          <w:rFonts w:ascii="Times New Roman" w:hAnsi="DJMRCP+FangSong_GB2312" w:cs="Times New Roman"/>
          <w:color w:val="000000"/>
          <w:sz w:val="28"/>
        </w:rPr>
        <w:t>）委托，安徽同信会计师事务所</w:t>
      </w:r>
      <w:r>
        <w:rPr>
          <w:rFonts w:hint="eastAsia" w:ascii="Times New Roman" w:hAnsi="DJMRCP+FangSong_GB2312" w:cs="Times New Roman"/>
          <w:color w:val="000000"/>
          <w:sz w:val="28"/>
        </w:rPr>
        <w:t>（</w:t>
      </w:r>
      <w:r>
        <w:rPr>
          <w:rFonts w:ascii="Times New Roman" w:hAnsi="DJMRCP+FangSong_GB2312" w:cs="Times New Roman"/>
          <w:color w:val="000000"/>
          <w:sz w:val="28"/>
        </w:rPr>
        <w:t>普通合伙</w:t>
      </w:r>
      <w:r>
        <w:rPr>
          <w:rFonts w:hint="eastAsia" w:ascii="Times New Roman" w:hAnsi="DJMRCP+FangSong_GB2312" w:cs="Times New Roman"/>
          <w:color w:val="000000"/>
          <w:sz w:val="28"/>
        </w:rPr>
        <w:t>）</w:t>
      </w:r>
      <w:r>
        <w:rPr>
          <w:rFonts w:ascii="Times New Roman" w:hAnsi="DJMRCP+FangSong_GB2312" w:cs="Times New Roman"/>
          <w:color w:val="000000"/>
          <w:sz w:val="28"/>
        </w:rPr>
        <w:t>组建项目绩效评价工作小组，对市交通局所属单位</w:t>
      </w:r>
      <w:r>
        <w:rPr>
          <w:rFonts w:hint="eastAsia" w:ascii="Times New Roman" w:hAnsi="Times New Roman" w:cs="Times New Roman"/>
          <w:color w:val="000000"/>
          <w:sz w:val="28"/>
        </w:rPr>
        <w:t>宿州市治理超限超载管理处（</w:t>
      </w:r>
      <w:r>
        <w:rPr>
          <w:rFonts w:ascii="Times New Roman" w:hAnsi="Times New Roman" w:cs="Times New Roman"/>
          <w:color w:val="000000"/>
          <w:sz w:val="28"/>
        </w:rPr>
        <w:t>以下简称宿州市</w:t>
      </w:r>
      <w:r>
        <w:rPr>
          <w:rFonts w:hint="eastAsia" w:ascii="Times New Roman" w:hAnsi="Times New Roman" w:cs="Times New Roman"/>
          <w:color w:val="000000"/>
          <w:sz w:val="28"/>
        </w:rPr>
        <w:t>治超</w:t>
      </w:r>
      <w:r>
        <w:rPr>
          <w:rFonts w:ascii="Times New Roman" w:hAnsi="Times New Roman" w:cs="Times New Roman"/>
          <w:color w:val="000000"/>
          <w:sz w:val="28"/>
        </w:rPr>
        <w:t>处</w:t>
      </w:r>
      <w:r>
        <w:rPr>
          <w:rFonts w:hint="eastAsia" w:ascii="Times New Roman" w:hAnsi="Times New Roman" w:cs="Times New Roman"/>
          <w:color w:val="000000"/>
          <w:sz w:val="28"/>
        </w:rPr>
        <w:t>）</w:t>
      </w:r>
      <w:r>
        <w:rPr>
          <w:rFonts w:ascii="Times New Roman" w:hAnsi="Times New Roman" w:cs="Times New Roman"/>
          <w:color w:val="000000"/>
          <w:sz w:val="28"/>
        </w:rPr>
        <w:t>202</w:t>
      </w:r>
      <w:r>
        <w:rPr>
          <w:rFonts w:hint="eastAsia" w:ascii="Times New Roman" w:hAnsi="Times New Roman" w:cs="Times New Roman"/>
          <w:color w:val="000000"/>
          <w:sz w:val="28"/>
          <w:lang w:val="en-US" w:eastAsia="zh-CN"/>
        </w:rPr>
        <w:t>2</w:t>
      </w:r>
      <w:r>
        <w:rPr>
          <w:rFonts w:ascii="Times New Roman" w:hAnsi="Times New Roman" w:cs="Times New Roman"/>
          <w:color w:val="000000"/>
          <w:sz w:val="28"/>
        </w:rPr>
        <w:t>年度单位</w:t>
      </w:r>
      <w:r>
        <w:rPr>
          <w:rFonts w:ascii="Times New Roman" w:hAnsi="DJMRCP+FangSong_GB2312" w:cs="Times New Roman"/>
          <w:color w:val="000000"/>
          <w:sz w:val="28"/>
        </w:rPr>
        <w:t>整体支出进行绩效评价，</w:t>
      </w:r>
      <w:r>
        <w:rPr>
          <w:rFonts w:hint="eastAsia" w:ascii="Times New Roman" w:hAnsi="DJMRCP+FangSong_GB2312" w:cs="Times New Roman"/>
          <w:color w:val="000000"/>
          <w:spacing w:val="1"/>
          <w:sz w:val="28"/>
        </w:rPr>
        <w:t>评价工作现已结束，</w:t>
      </w:r>
      <w:r>
        <w:rPr>
          <w:rFonts w:ascii="Times New Roman" w:hAnsi="DJMRCP+FangSong_GB2312" w:cs="Times New Roman"/>
          <w:color w:val="000000"/>
          <w:spacing w:val="1"/>
          <w:sz w:val="28"/>
        </w:rPr>
        <w:t>报告如下</w:t>
      </w:r>
      <w:r>
        <w:rPr>
          <w:rFonts w:hint="eastAsia" w:ascii="Times New Roman" w:hAnsi="DJMRCP+FangSong_GB2312" w:cs="Times New Roman"/>
          <w:color w:val="000000"/>
          <w:spacing w:val="1"/>
          <w:sz w:val="28"/>
        </w:rPr>
        <w:t>：</w:t>
      </w:r>
    </w:p>
    <w:p>
      <w:pPr>
        <w:ind w:firstLine="475" w:firstLineChars="148"/>
        <w:rPr>
          <w:rFonts w:ascii="Times New Roman" w:hAnsi="Times New Roman" w:cs="Times New Roman"/>
          <w:b/>
          <w:sz w:val="32"/>
          <w:szCs w:val="32"/>
        </w:rPr>
      </w:pPr>
      <w:r>
        <w:rPr>
          <w:rFonts w:hint="eastAsia" w:ascii="Times New Roman" w:cs="Times New Roman"/>
          <w:b/>
          <w:sz w:val="32"/>
          <w:szCs w:val="32"/>
        </w:rPr>
        <w:t>一</w:t>
      </w:r>
      <w:r>
        <w:rPr>
          <w:rFonts w:ascii="Times New Roman" w:hAnsi="Times New Roman" w:cs="Times New Roman"/>
          <w:b/>
          <w:sz w:val="32"/>
          <w:szCs w:val="32"/>
        </w:rPr>
        <w:t xml:space="preserve"> </w:t>
      </w:r>
      <w:r>
        <w:rPr>
          <w:rFonts w:hint="eastAsia" w:ascii="Times New Roman" w:hAnsi="Times New Roman" w:cs="Times New Roman"/>
          <w:b/>
          <w:sz w:val="32"/>
          <w:szCs w:val="32"/>
        </w:rPr>
        <w:t>、</w:t>
      </w:r>
      <w:r>
        <w:rPr>
          <w:rFonts w:ascii="Times New Roman" w:cs="Times New Roman"/>
          <w:b/>
          <w:sz w:val="32"/>
          <w:szCs w:val="32"/>
        </w:rPr>
        <w:t>基本情况</w:t>
      </w:r>
    </w:p>
    <w:p>
      <w:pPr>
        <w:widowControl/>
        <w:ind w:firstLine="540" w:firstLineChars="192"/>
        <w:jc w:val="left"/>
        <w:rPr>
          <w:rFonts w:ascii="Times New Roman" w:hAnsi="Times New Roman" w:cs="Times New Roman"/>
          <w:b/>
          <w:color w:val="000000"/>
          <w:sz w:val="28"/>
        </w:rPr>
      </w:pPr>
      <w:r>
        <w:rPr>
          <w:rFonts w:hint="eastAsia" w:ascii="Times New Roman" w:hAnsi="DJMRCP+FangSong_GB2312" w:cs="Times New Roman"/>
          <w:b/>
          <w:color w:val="000000"/>
          <w:sz w:val="28"/>
        </w:rPr>
        <w:t>1</w:t>
      </w:r>
      <w:r>
        <w:rPr>
          <w:rFonts w:ascii="Times New Roman" w:hAnsi="DJMRCP+FangSong_GB2312" w:cs="Times New Roman"/>
          <w:b/>
          <w:color w:val="000000"/>
          <w:sz w:val="28"/>
        </w:rPr>
        <w:t>、机构和人员</w:t>
      </w:r>
    </w:p>
    <w:p>
      <w:pPr>
        <w:pStyle w:val="7"/>
        <w:spacing w:before="0" w:beforeAutospacing="0" w:after="0" w:afterAutospacing="0"/>
        <w:ind w:firstLine="560" w:firstLineChars="200"/>
        <w:rPr>
          <w:rFonts w:hint="eastAsia" w:ascii="Times New Roman" w:hAnsi="DJMRCP+FangSong_GB2312" w:cs="Times New Roman"/>
          <w:color w:val="000000"/>
          <w:sz w:val="28"/>
        </w:rPr>
      </w:pPr>
      <w:r>
        <w:rPr>
          <w:rFonts w:ascii="Times New Roman" w:hAnsi="DJMRCP+FangSong_GB2312" w:cs="Times New Roman"/>
          <w:color w:val="000000"/>
          <w:sz w:val="28"/>
        </w:rPr>
        <w:t>宿州市</w:t>
      </w:r>
      <w:r>
        <w:rPr>
          <w:rFonts w:hint="eastAsia" w:ascii="Times New Roman" w:hAnsi="DJMRCP+FangSong_GB2312" w:cs="Times New Roman"/>
          <w:color w:val="000000"/>
          <w:sz w:val="28"/>
        </w:rPr>
        <w:t>治超</w:t>
      </w:r>
      <w:r>
        <w:rPr>
          <w:rFonts w:ascii="Times New Roman" w:hAnsi="DJMRCP+FangSong_GB2312" w:cs="Times New Roman"/>
          <w:color w:val="000000"/>
          <w:sz w:val="28"/>
        </w:rPr>
        <w:t>处</w:t>
      </w:r>
      <w:r>
        <w:rPr>
          <w:rFonts w:hint="eastAsia" w:ascii="Times New Roman" w:hAnsi="DJMRCP+FangSong_GB2312" w:cs="Times New Roman"/>
          <w:color w:val="000000"/>
          <w:sz w:val="28"/>
        </w:rPr>
        <w:t>于2014年11月20日正式挂牌成立，</w:t>
      </w:r>
      <w:r>
        <w:rPr>
          <w:rFonts w:ascii="Times New Roman" w:hAnsi="DJMRCP+FangSong_GB2312" w:cs="Times New Roman"/>
          <w:color w:val="000000"/>
          <w:sz w:val="28"/>
        </w:rPr>
        <w:t>是宿州市</w:t>
      </w:r>
      <w:r>
        <w:rPr>
          <w:rFonts w:hint="eastAsia" w:ascii="Times New Roman" w:hAnsi="DJMRCP+FangSong_GB2312" w:cs="Times New Roman"/>
          <w:color w:val="000000"/>
          <w:sz w:val="28"/>
        </w:rPr>
        <w:t>交通局</w:t>
      </w:r>
      <w:r>
        <w:rPr>
          <w:rFonts w:ascii="Times New Roman" w:hAnsi="DJMRCP+FangSong_GB2312" w:cs="Times New Roman"/>
          <w:color w:val="000000"/>
          <w:sz w:val="28"/>
        </w:rPr>
        <w:t>直属的</w:t>
      </w:r>
      <w:r>
        <w:rPr>
          <w:rFonts w:hint="eastAsia" w:ascii="Times New Roman" w:hAnsi="DJMRCP+FangSong_GB2312" w:cs="Times New Roman"/>
          <w:color w:val="000000"/>
          <w:sz w:val="28"/>
        </w:rPr>
        <w:t>一</w:t>
      </w:r>
      <w:r>
        <w:rPr>
          <w:rFonts w:ascii="Times New Roman" w:hAnsi="DJMRCP+FangSong_GB2312" w:cs="Times New Roman"/>
          <w:color w:val="000000"/>
          <w:sz w:val="28"/>
        </w:rPr>
        <w:t>级预算单位</w:t>
      </w:r>
      <w:r>
        <w:rPr>
          <w:rFonts w:hint="eastAsia" w:ascii="Times New Roman" w:hAnsi="DJMRCP+FangSong_GB2312" w:cs="Times New Roman"/>
          <w:color w:val="000000"/>
          <w:sz w:val="28"/>
        </w:rPr>
        <w:t>，单位性质为公益一类事业单位，财政供给渠道为全额拨款</w:t>
      </w:r>
      <w:r>
        <w:rPr>
          <w:rFonts w:hint="eastAsia" w:ascii="Times New Roman" w:hAnsi="DJMRCP+FangSong_GB2312" w:cs="Times New Roman"/>
          <w:color w:val="000000"/>
          <w:sz w:val="28"/>
          <w:lang w:eastAsia="zh-CN"/>
        </w:rPr>
        <w:t>，</w:t>
      </w:r>
      <w:r>
        <w:rPr>
          <w:rFonts w:hint="eastAsia" w:ascii="Times New Roman" w:hAnsi="DJMRCP+FangSong_GB2312" w:cs="Times New Roman"/>
          <w:color w:val="000000"/>
          <w:sz w:val="28"/>
          <w:lang w:val="en-US" w:eastAsia="zh-CN"/>
        </w:rPr>
        <w:t>单位行政级别副处级</w:t>
      </w:r>
      <w:r>
        <w:rPr>
          <w:rFonts w:hint="eastAsia" w:ascii="Times New Roman" w:hAnsi="DJMRCP+FangSong_GB2312" w:cs="Times New Roman"/>
          <w:color w:val="000000"/>
          <w:sz w:val="28"/>
        </w:rPr>
        <w:t>。</w:t>
      </w:r>
    </w:p>
    <w:p>
      <w:pPr>
        <w:widowControl/>
        <w:ind w:firstLine="537" w:firstLineChars="192"/>
        <w:jc w:val="left"/>
        <w:rPr>
          <w:rFonts w:ascii="Times New Roman" w:hAnsi="Times New Roman" w:cs="Times New Roman"/>
          <w:color w:val="000000"/>
          <w:sz w:val="28"/>
        </w:rPr>
      </w:pPr>
      <w:r>
        <w:rPr>
          <w:rFonts w:hint="eastAsia" w:ascii="Times New Roman" w:hAnsi="DJMRCP+FangSong_GB2312" w:cs="Times New Roman"/>
          <w:color w:val="000000"/>
          <w:sz w:val="28"/>
        </w:rPr>
        <w:t>宿州市治超处</w:t>
      </w:r>
      <w:r>
        <w:rPr>
          <w:rFonts w:ascii="Times New Roman" w:hAnsi="DJMRCP+FangSong_GB2312" w:cs="Times New Roman"/>
          <w:color w:val="000000"/>
          <w:sz w:val="28"/>
        </w:rPr>
        <w:t>核定事业编制</w:t>
      </w:r>
      <w:r>
        <w:rPr>
          <w:rFonts w:hint="eastAsia" w:ascii="Times New Roman" w:hAnsi="Times New Roman" w:cs="Times New Roman"/>
          <w:color w:val="000000"/>
          <w:sz w:val="28"/>
          <w:lang w:val="en-US" w:eastAsia="zh-CN"/>
        </w:rPr>
        <w:t>28</w:t>
      </w:r>
      <w:r>
        <w:rPr>
          <w:rFonts w:hint="eastAsia" w:ascii="Times New Roman" w:hAnsi="DJMRCP+FangSong_GB2312" w:cs="Times New Roman"/>
          <w:color w:val="000000"/>
          <w:sz w:val="28"/>
        </w:rPr>
        <w:t>名</w:t>
      </w:r>
      <w:r>
        <w:rPr>
          <w:rFonts w:ascii="Times New Roman" w:hAnsi="DJMRCP+FangSong_GB2312" w:cs="Times New Roman"/>
          <w:color w:val="000000"/>
          <w:sz w:val="28"/>
        </w:rPr>
        <w:t>，年末</w:t>
      </w:r>
      <w:r>
        <w:rPr>
          <w:rFonts w:hint="eastAsia" w:ascii="Times New Roman" w:hAnsi="DJMRCP+FangSong_GB2312" w:cs="Times New Roman"/>
          <w:color w:val="000000"/>
          <w:sz w:val="28"/>
          <w:lang w:val="en-US" w:eastAsia="zh-CN"/>
        </w:rPr>
        <w:t>实有职工8人，其中</w:t>
      </w:r>
      <w:r>
        <w:rPr>
          <w:rFonts w:hint="eastAsia" w:ascii="Times New Roman" w:hAnsi="DJMRCP+FangSong_GB2312" w:cs="Times New Roman"/>
          <w:color w:val="000000"/>
          <w:sz w:val="28"/>
        </w:rPr>
        <w:t>在职</w:t>
      </w:r>
      <w:r>
        <w:rPr>
          <w:rFonts w:ascii="Times New Roman" w:hAnsi="DJMRCP+FangSong_GB2312" w:cs="Times New Roman"/>
          <w:color w:val="000000"/>
          <w:sz w:val="28"/>
        </w:rPr>
        <w:t>在编</w:t>
      </w:r>
      <w:r>
        <w:rPr>
          <w:rFonts w:hint="eastAsia" w:ascii="Times New Roman" w:hAnsi="Times New Roman" w:cs="Times New Roman"/>
          <w:color w:val="000000"/>
          <w:sz w:val="28"/>
          <w:lang w:val="en-US" w:eastAsia="zh-CN"/>
        </w:rPr>
        <w:t>6</w:t>
      </w:r>
      <w:r>
        <w:rPr>
          <w:rFonts w:ascii="Times New Roman" w:hAnsi="DJMRCP+FangSong_GB2312" w:cs="Times New Roman"/>
          <w:color w:val="000000"/>
          <w:sz w:val="28"/>
        </w:rPr>
        <w:t>人</w:t>
      </w:r>
      <w:r>
        <w:rPr>
          <w:rFonts w:hint="eastAsia" w:ascii="Times New Roman" w:hAnsi="DJMRCP+FangSong_GB2312" w:cs="Times New Roman"/>
          <w:color w:val="000000"/>
          <w:sz w:val="28"/>
          <w:lang w:eastAsia="zh-CN"/>
        </w:rPr>
        <w:t>，</w:t>
      </w:r>
      <w:r>
        <w:rPr>
          <w:rFonts w:hint="eastAsia" w:ascii="Times New Roman" w:hAnsi="DJMRCP+FangSong_GB2312" w:cs="Times New Roman"/>
          <w:color w:val="000000"/>
          <w:sz w:val="28"/>
          <w:lang w:val="en-US" w:eastAsia="zh-CN"/>
        </w:rPr>
        <w:t>2人在职编未到；共有县处级职位2人、乡科级1人</w:t>
      </w:r>
      <w:r>
        <w:rPr>
          <w:rFonts w:hint="eastAsia" w:ascii="Times New Roman" w:hAnsi="DJMRCP+FangSong_GB2312" w:cs="Times New Roman"/>
          <w:color w:val="000000"/>
          <w:sz w:val="28"/>
        </w:rPr>
        <w:t>。</w:t>
      </w:r>
      <w:r>
        <w:rPr>
          <w:rFonts w:hint="eastAsia" w:ascii="Times New Roman" w:hAnsi="DJMRCP+FangSong_GB2312" w:cs="Times New Roman"/>
          <w:color w:val="000000"/>
          <w:sz w:val="28"/>
          <w:lang w:val="en-US" w:eastAsia="zh-CN"/>
        </w:rPr>
        <w:t>宿州市机构编制委员会核准宿州市治超处</w:t>
      </w:r>
      <w:r>
        <w:rPr>
          <w:rFonts w:hint="eastAsia" w:ascii="Times New Roman" w:hAnsi="DJMRCP+FangSong_GB2312" w:eastAsia="宋体" w:cs="Times New Roman"/>
          <w:color w:val="000000"/>
          <w:kern w:val="0"/>
          <w:sz w:val="28"/>
          <w:szCs w:val="24"/>
        </w:rPr>
        <w:t>内设</w:t>
      </w:r>
      <w:r>
        <w:rPr>
          <w:rFonts w:hint="eastAsia" w:ascii="Times New Roman" w:hAnsi="DJMRCP+FangSong_GB2312" w:eastAsia="宋体" w:cs="Times New Roman"/>
          <w:color w:val="000000"/>
          <w:kern w:val="0"/>
          <w:sz w:val="28"/>
          <w:szCs w:val="24"/>
          <w:lang w:val="en-US" w:eastAsia="zh-CN"/>
        </w:rPr>
        <w:t>管理处领导、</w:t>
      </w:r>
      <w:r>
        <w:rPr>
          <w:rFonts w:hint="eastAsia" w:ascii="Times New Roman" w:hAnsi="DJMRCP+FangSong_GB2312" w:eastAsia="宋体" w:cs="Times New Roman"/>
          <w:color w:val="000000"/>
          <w:kern w:val="0"/>
          <w:sz w:val="28"/>
          <w:szCs w:val="24"/>
        </w:rPr>
        <w:t>办公室、业务室、财务室</w:t>
      </w:r>
      <w:r>
        <w:rPr>
          <w:rFonts w:hint="eastAsia" w:ascii="Times New Roman" w:hAnsi="DJMRCP+FangSong_GB2312" w:eastAsia="宋体" w:cs="Times New Roman"/>
          <w:color w:val="000000"/>
          <w:kern w:val="0"/>
          <w:sz w:val="28"/>
          <w:szCs w:val="24"/>
          <w:lang w:eastAsia="zh-CN"/>
        </w:rPr>
        <w:t>、</w:t>
      </w:r>
      <w:r>
        <w:rPr>
          <w:rFonts w:hint="eastAsia" w:ascii="Times New Roman" w:hAnsi="DJMRCP+FangSong_GB2312" w:eastAsia="宋体" w:cs="Times New Roman"/>
          <w:color w:val="000000"/>
          <w:kern w:val="0"/>
          <w:sz w:val="28"/>
          <w:szCs w:val="24"/>
          <w:lang w:val="en-US" w:eastAsia="zh-CN"/>
        </w:rPr>
        <w:t>流动治超执法队等5个内设机构</w:t>
      </w:r>
      <w:r>
        <w:rPr>
          <w:rFonts w:hint="eastAsia" w:ascii="Times New Roman" w:hAnsi="DJMRCP+FangSong_GB2312" w:eastAsia="宋体" w:cs="Times New Roman"/>
          <w:color w:val="000000"/>
          <w:kern w:val="0"/>
          <w:sz w:val="28"/>
          <w:szCs w:val="24"/>
        </w:rPr>
        <w:t>。</w:t>
      </w:r>
    </w:p>
    <w:p>
      <w:pPr>
        <w:widowControl/>
        <w:ind w:firstLine="562" w:firstLineChars="200"/>
        <w:jc w:val="left"/>
        <w:rPr>
          <w:rFonts w:ascii="Times New Roman" w:hAnsi="Times New Roman" w:cs="Times New Roman"/>
          <w:b/>
          <w:color w:val="000000"/>
          <w:sz w:val="28"/>
        </w:rPr>
      </w:pPr>
      <w:r>
        <w:rPr>
          <w:rFonts w:hint="eastAsia" w:ascii="Times New Roman" w:hAnsi="DJMRCP+FangSong_GB2312" w:cs="Times New Roman"/>
          <w:b/>
          <w:color w:val="000000"/>
          <w:sz w:val="28"/>
        </w:rPr>
        <w:t>2</w:t>
      </w:r>
      <w:r>
        <w:rPr>
          <w:rFonts w:ascii="Times New Roman" w:hAnsi="DJMRCP+FangSong_GB2312" w:cs="Times New Roman"/>
          <w:b/>
          <w:color w:val="000000"/>
          <w:sz w:val="28"/>
        </w:rPr>
        <w:t>、</w:t>
      </w:r>
      <w:r>
        <w:rPr>
          <w:rFonts w:hint="eastAsia" w:ascii="Times New Roman" w:hAnsi="DJMRCP+FangSong_GB2312" w:cs="Times New Roman"/>
          <w:b/>
          <w:color w:val="000000"/>
          <w:sz w:val="28"/>
        </w:rPr>
        <w:t>单位</w:t>
      </w:r>
      <w:r>
        <w:rPr>
          <w:rFonts w:ascii="Times New Roman" w:hAnsi="DJMRCP+FangSong_GB2312" w:cs="Times New Roman"/>
          <w:b/>
          <w:color w:val="000000"/>
          <w:sz w:val="28"/>
        </w:rPr>
        <w:t>主要职责及年度主要任务</w:t>
      </w:r>
    </w:p>
    <w:p>
      <w:pPr>
        <w:widowControl/>
        <w:ind w:firstLine="537" w:firstLineChars="192"/>
        <w:jc w:val="left"/>
        <w:rPr>
          <w:rFonts w:hint="eastAsia" w:ascii="Times New Roman" w:hAnsi="Times New Roman" w:cs="Times New Roman"/>
          <w:color w:val="000000"/>
          <w:sz w:val="28"/>
        </w:rPr>
      </w:pPr>
      <w:r>
        <w:rPr>
          <w:rFonts w:hint="eastAsia" w:ascii="Times New Roman" w:hAnsi="Times New Roman" w:cs="Times New Roman"/>
          <w:color w:val="000000"/>
          <w:sz w:val="28"/>
          <w:lang w:val="en-US" w:eastAsia="zh-CN"/>
        </w:rPr>
        <w:t>（1）根据《宿州市交通运输局关于明确宿州市治理超限超载管理处工作职责的通知》（宿交运〔2014〕300号）文件规定，本单位的主要职责是：</w:t>
      </w:r>
      <w:r>
        <w:rPr>
          <w:rFonts w:hint="eastAsia" w:ascii="Times New Roman" w:hAnsi="Times New Roman" w:cs="Times New Roman"/>
          <w:color w:val="000000"/>
          <w:sz w:val="28"/>
        </w:rPr>
        <w:t>1.在市政府领导下负责组织、协调、督查全市治理车辆超限超载各项具体工作的贯彻落实；2.组织收集、汇总、上报全市超限超载工作有关信息；3.受理货运车辆超限超载和执法人员的违法行为投诉和举报，组织、协调、指导有关部门实施调查处理工作；4.组织、协调各县区交通运输局、公路管理机构做好治超站点规划、监督管理工作；5.组织对全市货运源头治理和路面治超工作的监督检查工作。</w:t>
      </w:r>
    </w:p>
    <w:p>
      <w:pPr>
        <w:widowControl/>
        <w:ind w:firstLine="537" w:firstLineChars="192"/>
        <w:jc w:val="left"/>
        <w:rPr>
          <w:rFonts w:hint="eastAsia" w:ascii="Times New Roman" w:hAnsi="Times New Roman" w:cs="Times New Roman"/>
          <w:color w:val="000000"/>
          <w:sz w:val="28"/>
        </w:rPr>
      </w:pPr>
      <w:r>
        <w:rPr>
          <w:rFonts w:hint="eastAsia" w:ascii="Times New Roman" w:hAnsi="Times New Roman" w:cs="Times New Roman"/>
          <w:color w:val="000000"/>
          <w:sz w:val="28"/>
        </w:rPr>
        <w:t>（2）年度总体目标：1.逐步完善全市物流和治超建设，推动我市智慧城市不断发展，不断提高服务民生的能力和水平；2. 减少路面毁损，确保好路率，延长公路使用寿命，有效降低超限超载货物运输出场率；3. 保障人民群众生命财产安全，提升居民安全出行环境，产生更大社会效益。</w:t>
      </w:r>
    </w:p>
    <w:p>
      <w:pPr>
        <w:ind w:firstLine="420" w:firstLineChars="150"/>
        <w:rPr>
          <w:rFonts w:hint="eastAsia" w:ascii="Times New Roman" w:hAnsi="DJMRCP+FangSong_GB2312" w:cs="Times New Roman"/>
          <w:color w:val="000000"/>
          <w:sz w:val="28"/>
        </w:rPr>
      </w:pPr>
      <w:r>
        <w:rPr>
          <w:rFonts w:hint="eastAsia" w:ascii="Times New Roman" w:hAnsi="DJMRCP+FangSong_GB2312" w:cs="Times New Roman"/>
          <w:color w:val="000000"/>
          <w:sz w:val="28"/>
        </w:rPr>
        <w:t>（3）年度主要工作任务：</w:t>
      </w:r>
      <w:r>
        <w:rPr>
          <w:rFonts w:hint="eastAsia" w:ascii="Times New Roman" w:hAnsi="DJMRCP+FangSong_GB2312" w:cs="Times New Roman"/>
          <w:color w:val="000000"/>
          <w:sz w:val="28"/>
          <w:lang w:val="en-US" w:eastAsia="zh-CN"/>
        </w:rPr>
        <w:t>1.</w:t>
      </w:r>
      <w:r>
        <w:rPr>
          <w:rFonts w:hint="eastAsia" w:ascii="Times New Roman" w:hAnsi="DJMRCP+FangSong_GB2312" w:cs="Times New Roman"/>
          <w:color w:val="000000"/>
          <w:sz w:val="28"/>
        </w:rPr>
        <w:t>加强非现场执法卡点信息化建设。进一步推进非现场执法监控卡点建设，有效降低超限超载车辆对路面损坏，保护路产路权，营造居民良好出行环境</w:t>
      </w:r>
      <w:r>
        <w:rPr>
          <w:rFonts w:hint="eastAsia" w:ascii="Times New Roman" w:hAnsi="DJMRCP+FangSong_GB2312" w:cs="Times New Roman"/>
          <w:color w:val="000000"/>
          <w:sz w:val="28"/>
          <w:lang w:eastAsia="zh-CN"/>
        </w:rPr>
        <w:t>；</w:t>
      </w:r>
      <w:r>
        <w:rPr>
          <w:rFonts w:hint="eastAsia" w:ascii="Times New Roman" w:hAnsi="DJMRCP+FangSong_GB2312" w:cs="Times New Roman"/>
          <w:color w:val="000000"/>
          <w:sz w:val="28"/>
          <w:lang w:val="en-US" w:eastAsia="zh-CN"/>
        </w:rPr>
        <w:t>2.</w:t>
      </w:r>
      <w:r>
        <w:rPr>
          <w:rFonts w:hint="eastAsia" w:ascii="Times New Roman" w:hAnsi="DJMRCP+FangSong_GB2312" w:cs="Times New Roman"/>
          <w:color w:val="000000"/>
          <w:sz w:val="28"/>
        </w:rPr>
        <w:t>加强联合执法。组织治超成员单位组成联合执法队伍，在超限超载现象频发的路段和时间段开展联合执法行动，有效控制货运车辆超限超载率。</w:t>
      </w:r>
    </w:p>
    <w:p>
      <w:pPr>
        <w:ind w:firstLine="562" w:firstLineChars="200"/>
        <w:rPr>
          <w:rFonts w:hint="eastAsia" w:ascii="Times New Roman" w:hAnsi="DJMRCP+FangSong_GB2312" w:cs="Times New Roman"/>
          <w:b/>
          <w:color w:val="000000"/>
          <w:sz w:val="28"/>
        </w:rPr>
      </w:pPr>
      <w:r>
        <w:rPr>
          <w:rFonts w:hint="eastAsia" w:ascii="Times New Roman" w:hAnsi="DJMRCP+FangSong_GB2312" w:cs="Times New Roman"/>
          <w:b/>
          <w:color w:val="000000"/>
          <w:sz w:val="28"/>
        </w:rPr>
        <w:t>3</w:t>
      </w:r>
      <w:r>
        <w:rPr>
          <w:rFonts w:ascii="Times New Roman" w:hAnsi="DJMRCP+FangSong_GB2312" w:cs="Times New Roman"/>
          <w:b/>
          <w:color w:val="000000"/>
          <w:sz w:val="28"/>
        </w:rPr>
        <w:t>、</w:t>
      </w:r>
      <w:r>
        <w:rPr>
          <w:rFonts w:hint="eastAsia" w:ascii="Times New Roman" w:hAnsi="DJMRCP+FangSong_GB2312" w:cs="Times New Roman"/>
          <w:b/>
          <w:color w:val="000000"/>
          <w:sz w:val="28"/>
        </w:rPr>
        <w:t>项目</w:t>
      </w:r>
      <w:r>
        <w:rPr>
          <w:rFonts w:ascii="Times New Roman" w:hAnsi="DJMRCP+FangSong_GB2312" w:cs="Times New Roman"/>
          <w:b/>
          <w:color w:val="000000"/>
          <w:sz w:val="28"/>
        </w:rPr>
        <w:t>支出情况</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202</w:t>
      </w:r>
      <w:r>
        <w:rPr>
          <w:rFonts w:hint="eastAsia" w:ascii="Times New Roman" w:hAnsi="DJMRCP+FangSong_GB2312" w:cs="Times New Roman"/>
          <w:color w:val="000000"/>
          <w:sz w:val="28"/>
          <w:lang w:val="en-US" w:eastAsia="zh-CN"/>
        </w:rPr>
        <w:t>2</w:t>
      </w:r>
      <w:r>
        <w:rPr>
          <w:rFonts w:hint="eastAsia" w:ascii="Times New Roman" w:hAnsi="DJMRCP+FangSong_GB2312" w:cs="Times New Roman"/>
          <w:color w:val="000000"/>
          <w:sz w:val="28"/>
        </w:rPr>
        <w:t>年度，宿州市治超处纳入本级财政安排的项目支出</w:t>
      </w:r>
      <w:r>
        <w:rPr>
          <w:rFonts w:hint="eastAsia" w:ascii="Times New Roman" w:hAnsi="DJMRCP+FangSong_GB2312" w:cs="Times New Roman"/>
          <w:color w:val="000000"/>
          <w:sz w:val="28"/>
          <w:lang w:val="en-US" w:eastAsia="zh-CN"/>
        </w:rPr>
        <w:t>2</w:t>
      </w:r>
      <w:r>
        <w:rPr>
          <w:rFonts w:hint="eastAsia" w:ascii="Times New Roman" w:hAnsi="DJMRCP+FangSong_GB2312" w:cs="Times New Roman"/>
          <w:color w:val="000000"/>
          <w:sz w:val="28"/>
        </w:rPr>
        <w:t>个：交通运输物流与治超信息平台运维及治超工作经费</w:t>
      </w:r>
      <w:r>
        <w:rPr>
          <w:rFonts w:hint="eastAsia" w:ascii="Times New Roman" w:hAnsi="DJMRCP+FangSong_GB2312" w:cs="Times New Roman"/>
          <w:color w:val="000000"/>
          <w:sz w:val="28"/>
          <w:lang w:val="en-US" w:eastAsia="zh-CN"/>
        </w:rPr>
        <w:t>项目和</w:t>
      </w:r>
      <w:r>
        <w:rPr>
          <w:rFonts w:hint="eastAsia" w:ascii="Times New Roman" w:hAnsi="DJMRCP+FangSong_GB2312" w:cs="Times New Roman"/>
          <w:color w:val="000000"/>
          <w:sz w:val="28"/>
        </w:rPr>
        <w:t>，</w:t>
      </w:r>
      <w:r>
        <w:rPr>
          <w:rFonts w:hint="eastAsia" w:ascii="Times New Roman" w:hAnsi="DJMRCP+FangSong_GB2312" w:cs="Times New Roman"/>
          <w:color w:val="000000"/>
          <w:sz w:val="28"/>
          <w:lang w:val="en-US" w:eastAsia="zh-CN"/>
        </w:rPr>
        <w:t>治超动态监控点运维经费项目，</w:t>
      </w:r>
      <w:r>
        <w:rPr>
          <w:rFonts w:hint="eastAsia" w:ascii="Times New Roman" w:hAnsi="DJMRCP+FangSong_GB2312" w:cs="Times New Roman"/>
          <w:color w:val="000000"/>
          <w:sz w:val="28"/>
        </w:rPr>
        <w:t>涉及财政资金84万元，主要用于治超信息平台的运维费用和工作经费支出。项目周期为长期。</w:t>
      </w:r>
    </w:p>
    <w:p>
      <w:pPr>
        <w:ind w:firstLine="562" w:firstLineChars="200"/>
        <w:rPr>
          <w:rFonts w:hint="eastAsia" w:ascii="Times New Roman" w:hAnsi="DJMRCP+FangSong_GB2312" w:cs="Times New Roman"/>
          <w:b/>
          <w:color w:val="000000"/>
          <w:sz w:val="28"/>
        </w:rPr>
      </w:pPr>
      <w:r>
        <w:rPr>
          <w:rFonts w:hint="eastAsia" w:ascii="Times New Roman" w:hAnsi="DJMRCP+FangSong_GB2312" w:cs="Times New Roman"/>
          <w:b/>
          <w:color w:val="000000"/>
          <w:sz w:val="28"/>
        </w:rPr>
        <w:t>4</w:t>
      </w:r>
      <w:r>
        <w:rPr>
          <w:rFonts w:ascii="Times New Roman" w:hAnsi="DJMRCP+FangSong_GB2312" w:cs="Times New Roman"/>
          <w:b/>
          <w:color w:val="000000"/>
          <w:sz w:val="28"/>
        </w:rPr>
        <w:t>、预算及决算情况</w:t>
      </w:r>
    </w:p>
    <w:p>
      <w:pPr>
        <w:ind w:firstLine="560" w:firstLineChars="200"/>
        <w:rPr>
          <w:rFonts w:hint="eastAsia" w:ascii="Times New Roman" w:hAnsi="DJMRCP+FangSong_GB2312" w:cs="Times New Roman"/>
          <w:b/>
          <w:color w:val="000000"/>
          <w:sz w:val="28"/>
          <w:highlight w:val="none"/>
        </w:rPr>
      </w:pPr>
      <w:r>
        <w:rPr>
          <w:rFonts w:ascii="Times New Roman" w:hAnsi="DJMRCP+FangSong_GB2312" w:cs="Times New Roman"/>
          <w:color w:val="000000"/>
          <w:sz w:val="28"/>
          <w:highlight w:val="none"/>
        </w:rPr>
        <w:t>202</w:t>
      </w:r>
      <w:r>
        <w:rPr>
          <w:rFonts w:hint="eastAsia" w:ascii="Times New Roman" w:hAnsi="DJMRCP+FangSong_GB2312" w:cs="Times New Roman"/>
          <w:color w:val="000000"/>
          <w:sz w:val="28"/>
          <w:highlight w:val="none"/>
          <w:lang w:val="en-US" w:eastAsia="zh-CN"/>
        </w:rPr>
        <w:t>2</w:t>
      </w:r>
      <w:r>
        <w:rPr>
          <w:rFonts w:ascii="Times New Roman" w:hAnsi="DJMRCP+FangSong_GB2312" w:cs="Times New Roman"/>
          <w:color w:val="000000"/>
          <w:sz w:val="28"/>
          <w:highlight w:val="none"/>
        </w:rPr>
        <w:t>年宿州市治超处年初预算</w:t>
      </w:r>
      <w:r>
        <w:rPr>
          <w:rFonts w:hint="eastAsia" w:ascii="Times New Roman" w:hAnsi="DJMRCP+FangSong_GB2312" w:cs="Times New Roman"/>
          <w:color w:val="000000"/>
          <w:sz w:val="28"/>
          <w:highlight w:val="none"/>
        </w:rPr>
        <w:t>数</w:t>
      </w:r>
      <w:r>
        <w:rPr>
          <w:rFonts w:hint="eastAsia" w:ascii="Times New Roman" w:hAnsi="DJMRCP+FangSong_GB2312" w:cs="Times New Roman"/>
          <w:color w:val="000000"/>
          <w:sz w:val="28"/>
          <w:highlight w:val="none"/>
          <w:lang w:val="en-US" w:eastAsia="zh-CN"/>
        </w:rPr>
        <w:t>132.3</w:t>
      </w:r>
      <w:r>
        <w:rPr>
          <w:rFonts w:ascii="Times New Roman" w:hAnsi="DJMRCP+FangSong_GB2312" w:cs="Times New Roman"/>
          <w:color w:val="000000"/>
          <w:sz w:val="28"/>
          <w:highlight w:val="none"/>
        </w:rPr>
        <w:t>万元，决算数</w:t>
      </w:r>
      <w:r>
        <w:rPr>
          <w:rFonts w:hint="eastAsia" w:ascii="Times New Roman" w:hAnsi="DJMRCP+FangSong_GB2312" w:cs="Times New Roman"/>
          <w:color w:val="000000"/>
          <w:sz w:val="28"/>
          <w:highlight w:val="none"/>
          <w:lang w:val="en-US" w:eastAsia="zh-CN"/>
        </w:rPr>
        <w:t>131.64</w:t>
      </w:r>
      <w:r>
        <w:rPr>
          <w:rFonts w:hint="eastAsia" w:ascii="Times New Roman" w:hAnsi="DJMRCP+FangSong_GB2312" w:cs="Times New Roman"/>
          <w:color w:val="000000"/>
          <w:sz w:val="28"/>
          <w:highlight w:val="none"/>
        </w:rPr>
        <w:t>万元，结余0.</w:t>
      </w:r>
      <w:r>
        <w:rPr>
          <w:rFonts w:hint="eastAsia" w:ascii="Times New Roman" w:hAnsi="DJMRCP+FangSong_GB2312" w:cs="Times New Roman"/>
          <w:color w:val="000000"/>
          <w:sz w:val="28"/>
          <w:highlight w:val="none"/>
          <w:lang w:val="en-US" w:eastAsia="zh-CN"/>
        </w:rPr>
        <w:t>66</w:t>
      </w:r>
      <w:r>
        <w:rPr>
          <w:rFonts w:hint="eastAsia" w:ascii="Times New Roman" w:hAnsi="DJMRCP+FangSong_GB2312" w:cs="Times New Roman"/>
          <w:color w:val="000000"/>
          <w:sz w:val="28"/>
          <w:highlight w:val="none"/>
        </w:rPr>
        <w:t>万元，为</w:t>
      </w:r>
      <w:r>
        <w:rPr>
          <w:rFonts w:hint="eastAsia" w:ascii="Times New Roman" w:hAnsi="DJMRCP+FangSong_GB2312" w:cs="Times New Roman"/>
          <w:color w:val="000000"/>
          <w:sz w:val="28"/>
          <w:highlight w:val="none"/>
          <w:lang w:val="en-US" w:eastAsia="zh-CN"/>
        </w:rPr>
        <w:t>压减开支，由市财政收回</w:t>
      </w:r>
      <w:r>
        <w:rPr>
          <w:rFonts w:hint="eastAsia" w:ascii="Times New Roman" w:hAnsi="DJMRCP+FangSong_GB2312" w:cs="Times New Roman"/>
          <w:color w:val="000000"/>
          <w:sz w:val="28"/>
          <w:highlight w:val="none"/>
        </w:rPr>
        <w:t>。</w:t>
      </w:r>
    </w:p>
    <w:p>
      <w:pPr>
        <w:ind w:firstLine="560" w:firstLineChars="200"/>
        <w:rPr>
          <w:rFonts w:hint="eastAsia" w:ascii="Times New Roman" w:hAnsi="DJMRCP+FangSong_GB2312" w:cs="Times New Roman"/>
          <w:b/>
          <w:color w:val="000000"/>
          <w:sz w:val="28"/>
          <w:highlight w:val="none"/>
        </w:rPr>
      </w:pPr>
      <w:r>
        <w:rPr>
          <w:rFonts w:hint="eastAsia" w:ascii="Times New Roman" w:hAnsi="DJMRCP+FangSong_GB2312" w:cs="Times New Roman"/>
          <w:color w:val="000000"/>
          <w:sz w:val="28"/>
          <w:highlight w:val="none"/>
        </w:rPr>
        <w:t>决算报表数</w:t>
      </w:r>
      <w:r>
        <w:rPr>
          <w:rFonts w:hint="eastAsia" w:ascii="Times New Roman" w:hAnsi="DJMRCP+FangSong_GB2312" w:cs="Times New Roman"/>
          <w:color w:val="000000"/>
          <w:sz w:val="28"/>
          <w:highlight w:val="none"/>
          <w:lang w:val="en-US" w:eastAsia="zh-CN"/>
        </w:rPr>
        <w:t>712.58</w:t>
      </w:r>
      <w:r>
        <w:rPr>
          <w:rFonts w:hint="eastAsia" w:ascii="Times New Roman" w:hAnsi="DJMRCP+FangSong_GB2312" w:cs="Times New Roman"/>
          <w:color w:val="000000"/>
          <w:sz w:val="28"/>
          <w:highlight w:val="none"/>
        </w:rPr>
        <w:t>万元，差异为</w:t>
      </w:r>
      <w:r>
        <w:rPr>
          <w:rFonts w:hint="eastAsia" w:ascii="Times New Roman" w:hAnsi="DJMRCP+FangSong_GB2312" w:cs="Times New Roman"/>
          <w:color w:val="000000"/>
          <w:sz w:val="28"/>
          <w:highlight w:val="none"/>
          <w:lang w:val="en-US" w:eastAsia="zh-CN"/>
        </w:rPr>
        <w:t>上级</w:t>
      </w:r>
      <w:r>
        <w:rPr>
          <w:rFonts w:hint="eastAsia" w:ascii="Times New Roman" w:hAnsi="DJMRCP+FangSong_GB2312" w:cs="Times New Roman"/>
          <w:color w:val="000000"/>
          <w:sz w:val="28"/>
          <w:highlight w:val="none"/>
        </w:rPr>
        <w:t>转移支付资金、往来资金</w:t>
      </w:r>
      <w:r>
        <w:rPr>
          <w:rFonts w:hint="eastAsia" w:ascii="Times New Roman" w:hAnsi="宋体" w:cs="Times New Roman"/>
          <w:color w:val="000000"/>
          <w:sz w:val="28"/>
          <w:szCs w:val="28"/>
          <w:highlight w:val="none"/>
          <w:shd w:val="clear" w:color="auto" w:fill="FFFFFF"/>
        </w:rPr>
        <w:t>、</w:t>
      </w:r>
      <w:r>
        <w:rPr>
          <w:rFonts w:hint="eastAsia" w:ascii="Times New Roman" w:hAnsi="DJMRCP+FangSong_GB2312" w:cs="Times New Roman"/>
          <w:color w:val="000000"/>
          <w:sz w:val="28"/>
          <w:highlight w:val="none"/>
        </w:rPr>
        <w:t>沿用</w:t>
      </w:r>
      <w:r>
        <w:rPr>
          <w:rFonts w:hint="eastAsia" w:ascii="Times New Roman" w:hAnsi="宋体" w:cs="Times New Roman"/>
          <w:color w:val="000000"/>
          <w:sz w:val="28"/>
          <w:szCs w:val="28"/>
          <w:highlight w:val="none"/>
          <w:shd w:val="clear" w:color="auto" w:fill="FFFFFF"/>
        </w:rPr>
        <w:t>以前年度结余资金</w:t>
      </w:r>
      <w:r>
        <w:rPr>
          <w:rFonts w:hint="eastAsia" w:ascii="Times New Roman" w:hAnsi="宋体" w:cs="Times New Roman"/>
          <w:color w:val="000000"/>
          <w:sz w:val="28"/>
          <w:szCs w:val="28"/>
          <w:highlight w:val="none"/>
          <w:shd w:val="clear" w:color="auto" w:fill="FFFFFF"/>
          <w:lang w:val="en-US" w:eastAsia="zh-CN"/>
        </w:rPr>
        <w:t>以及调剂资金</w:t>
      </w:r>
      <w:r>
        <w:rPr>
          <w:rFonts w:hint="eastAsia" w:ascii="Times New Roman" w:hAnsi="DJMRCP+FangSong_GB2312" w:cs="Times New Roman"/>
          <w:color w:val="000000"/>
          <w:sz w:val="28"/>
          <w:highlight w:val="none"/>
        </w:rPr>
        <w:t>。</w:t>
      </w:r>
    </w:p>
    <w:p>
      <w:pPr>
        <w:widowControl/>
        <w:ind w:firstLine="480" w:firstLineChars="150"/>
        <w:jc w:val="left"/>
        <w:rPr>
          <w:rFonts w:ascii="Times New Roman" w:hAnsi="Times New Roman" w:cs="Times New Roman"/>
          <w:b/>
          <w:color w:val="333333"/>
          <w:kern w:val="0"/>
          <w:sz w:val="32"/>
          <w:szCs w:val="32"/>
        </w:rPr>
      </w:pPr>
      <w:r>
        <w:rPr>
          <w:rFonts w:hint="eastAsia" w:ascii="Times New Roman" w:hAnsi="宋体" w:cs="Times New Roman"/>
          <w:color w:val="333333"/>
          <w:kern w:val="0"/>
          <w:sz w:val="32"/>
          <w:szCs w:val="32"/>
        </w:rPr>
        <w:t>二、</w:t>
      </w:r>
      <w:r>
        <w:rPr>
          <w:rFonts w:hint="eastAsia" w:ascii="Times New Roman" w:hAnsi="宋体" w:cs="Times New Roman"/>
          <w:b/>
          <w:color w:val="333333"/>
          <w:kern w:val="0"/>
          <w:sz w:val="32"/>
          <w:szCs w:val="32"/>
        </w:rPr>
        <w:t>评价工作开展情况</w:t>
      </w:r>
    </w:p>
    <w:p>
      <w:pPr>
        <w:widowControl/>
        <w:shd w:val="clear" w:color="auto" w:fill="FFFFFF"/>
        <w:ind w:firstLine="551" w:firstLineChars="196"/>
        <w:rPr>
          <w:rFonts w:ascii="Times New Roman" w:hAnsi="Times New Roman" w:cs="Times New Roman"/>
          <w:b/>
          <w:color w:val="000000"/>
          <w:sz w:val="28"/>
          <w:szCs w:val="28"/>
        </w:rPr>
      </w:pPr>
      <w:r>
        <w:rPr>
          <w:rFonts w:hint="eastAsia" w:ascii="Times New Roman" w:hAnsi="Times New Roman" w:cs="Times New Roman"/>
          <w:b/>
          <w:color w:val="000000"/>
          <w:sz w:val="28"/>
          <w:szCs w:val="28"/>
        </w:rPr>
        <w:t>1、评价目的</w:t>
      </w:r>
    </w:p>
    <w:p>
      <w:pPr>
        <w:shd w:val="clear" w:color="auto" w:fill="FFFFFF"/>
        <w:ind w:firstLine="560" w:firstLineChars="200"/>
        <w:rPr>
          <w:rFonts w:ascii="Times New Roman" w:hAnsi="Times New Roman" w:cs="Times New Roman"/>
          <w:color w:val="000000"/>
          <w:sz w:val="28"/>
          <w:szCs w:val="28"/>
          <w:shd w:val="clear" w:color="auto" w:fill="FFFFFF"/>
        </w:rPr>
      </w:pPr>
      <w:r>
        <w:rPr>
          <w:rFonts w:ascii="Times New Roman" w:hAnsi="宋体" w:cs="Times New Roman"/>
          <w:color w:val="000000"/>
          <w:sz w:val="28"/>
          <w:szCs w:val="28"/>
          <w:shd w:val="clear" w:color="auto" w:fill="FFFFFF"/>
        </w:rPr>
        <w:t>通过对</w:t>
      </w:r>
      <w:r>
        <w:rPr>
          <w:rFonts w:hint="eastAsia" w:ascii="Times New Roman" w:hAnsi="宋体" w:cs="Times New Roman"/>
          <w:color w:val="000000"/>
          <w:sz w:val="28"/>
          <w:szCs w:val="28"/>
          <w:shd w:val="clear" w:color="auto" w:fill="FFFFFF"/>
        </w:rPr>
        <w:t>宿州市治超处</w:t>
      </w:r>
      <w:r>
        <w:rPr>
          <w:rFonts w:ascii="Times New Roman" w:hAnsi="Times New Roman" w:cs="Times New Roman"/>
          <w:color w:val="000000"/>
          <w:sz w:val="28"/>
          <w:szCs w:val="28"/>
          <w:shd w:val="clear" w:color="auto" w:fill="FFFFFF"/>
        </w:rPr>
        <w:t>202</w:t>
      </w:r>
      <w:r>
        <w:rPr>
          <w:rFonts w:hint="eastAsia" w:ascii="Times New Roman" w:hAnsi="Times New Roman" w:cs="Times New Roman"/>
          <w:color w:val="000000"/>
          <w:sz w:val="28"/>
          <w:szCs w:val="28"/>
          <w:shd w:val="clear" w:color="auto" w:fill="FFFFFF"/>
          <w:lang w:val="en-US" w:eastAsia="zh-CN"/>
        </w:rPr>
        <w:t>2</w:t>
      </w:r>
      <w:r>
        <w:rPr>
          <w:rFonts w:ascii="Times New Roman" w:hAnsi="宋体" w:cs="Times New Roman"/>
          <w:color w:val="000000"/>
          <w:sz w:val="28"/>
          <w:szCs w:val="28"/>
          <w:shd w:val="clear" w:color="auto" w:fill="FFFFFF"/>
        </w:rPr>
        <w:t>年度</w:t>
      </w:r>
      <w:r>
        <w:rPr>
          <w:rFonts w:hint="eastAsia" w:ascii="Times New Roman" w:hAnsi="宋体" w:cs="Times New Roman"/>
          <w:color w:val="000000"/>
          <w:sz w:val="28"/>
          <w:szCs w:val="28"/>
          <w:shd w:val="clear" w:color="auto" w:fill="FFFFFF"/>
        </w:rPr>
        <w:t>整体</w:t>
      </w:r>
      <w:r>
        <w:rPr>
          <w:rFonts w:ascii="Times New Roman" w:hAnsi="宋体" w:cs="Times New Roman"/>
          <w:color w:val="000000"/>
          <w:sz w:val="28"/>
          <w:szCs w:val="28"/>
          <w:shd w:val="clear" w:color="auto" w:fill="FFFFFF"/>
        </w:rPr>
        <w:t>支出绩效的评价，以全面反映部门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单位</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预算管理现状、找出部门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单位</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履职和管理中的薄弱环节、总结经验做法，以强化部门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单位</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支出责任、提高部门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单位</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履职效率和效果，进而实现财政资源优化配置、打造高效务实的政府部门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单位</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w:t>
      </w:r>
    </w:p>
    <w:p>
      <w:pPr>
        <w:shd w:val="clear" w:color="auto" w:fill="FFFFFF"/>
        <w:ind w:firstLine="562" w:firstLineChars="200"/>
        <w:rPr>
          <w:rFonts w:ascii="Times New Roman" w:hAnsi="宋体" w:cs="Times New Roman"/>
          <w:b/>
          <w:color w:val="000000"/>
          <w:sz w:val="28"/>
          <w:szCs w:val="28"/>
          <w:shd w:val="clear" w:color="auto" w:fill="FFFFFF"/>
        </w:rPr>
      </w:pPr>
      <w:r>
        <w:rPr>
          <w:rFonts w:hint="eastAsia" w:ascii="Times New Roman" w:hAnsi="宋体" w:cs="Times New Roman"/>
          <w:b/>
          <w:color w:val="000000"/>
          <w:sz w:val="28"/>
          <w:szCs w:val="28"/>
          <w:shd w:val="clear" w:color="auto" w:fill="FFFFFF"/>
        </w:rPr>
        <w:t>2</w:t>
      </w:r>
      <w:r>
        <w:rPr>
          <w:rFonts w:ascii="Times New Roman" w:hAnsi="宋体" w:cs="Times New Roman"/>
          <w:b/>
          <w:color w:val="000000"/>
          <w:sz w:val="28"/>
          <w:szCs w:val="28"/>
          <w:shd w:val="clear" w:color="auto" w:fill="FFFFFF"/>
        </w:rPr>
        <w:t>、评价范围</w:t>
      </w:r>
    </w:p>
    <w:p>
      <w:pPr>
        <w:autoSpaceDE w:val="0"/>
        <w:autoSpaceDN w:val="0"/>
        <w:ind w:firstLine="560" w:firstLineChars="200"/>
        <w:rPr>
          <w:rFonts w:hint="eastAsia" w:ascii="Times New Roman" w:hAnsi="DJMRCP+FangSong_GB2312" w:cs="Times New Roman"/>
          <w:color w:val="000000"/>
          <w:sz w:val="28"/>
        </w:rPr>
      </w:pPr>
      <w:r>
        <w:rPr>
          <w:rFonts w:ascii="Times New Roman" w:hAnsi="宋体" w:cs="Times New Roman"/>
          <w:color w:val="000000"/>
          <w:sz w:val="28"/>
          <w:szCs w:val="28"/>
          <w:shd w:val="clear" w:color="auto" w:fill="FFFFFF"/>
        </w:rPr>
        <w:t>本次评价范围为</w:t>
      </w:r>
      <w:r>
        <w:rPr>
          <w:rFonts w:ascii="Times New Roman" w:hAnsi="Times New Roman" w:cs="Times New Roman"/>
          <w:color w:val="000000"/>
          <w:sz w:val="28"/>
          <w:szCs w:val="28"/>
          <w:shd w:val="clear" w:color="auto" w:fill="FFFFFF"/>
        </w:rPr>
        <w:t>202</w:t>
      </w:r>
      <w:r>
        <w:rPr>
          <w:rFonts w:hint="eastAsia" w:ascii="Times New Roman" w:hAnsi="Times New Roman" w:cs="Times New Roman"/>
          <w:color w:val="000000"/>
          <w:sz w:val="28"/>
          <w:szCs w:val="28"/>
          <w:shd w:val="clear" w:color="auto" w:fill="FFFFFF"/>
          <w:lang w:val="en-US" w:eastAsia="zh-CN"/>
        </w:rPr>
        <w:t>2</w:t>
      </w:r>
      <w:r>
        <w:rPr>
          <w:rFonts w:ascii="Times New Roman" w:hAnsi="宋体" w:cs="Times New Roman"/>
          <w:color w:val="000000"/>
          <w:sz w:val="28"/>
          <w:szCs w:val="28"/>
          <w:shd w:val="clear" w:color="auto" w:fill="FFFFFF"/>
        </w:rPr>
        <w:t>年度</w:t>
      </w:r>
      <w:r>
        <w:rPr>
          <w:rFonts w:hint="eastAsia" w:ascii="Times New Roman" w:hAnsi="宋体" w:cs="Times New Roman"/>
          <w:color w:val="000000"/>
          <w:sz w:val="28"/>
          <w:szCs w:val="28"/>
          <w:shd w:val="clear" w:color="auto" w:fill="FFFFFF"/>
        </w:rPr>
        <w:t>宿州市治超处</w:t>
      </w:r>
      <w:r>
        <w:rPr>
          <w:rFonts w:ascii="Times New Roman" w:hAnsi="宋体" w:cs="Times New Roman"/>
          <w:color w:val="000000"/>
          <w:sz w:val="28"/>
          <w:szCs w:val="28"/>
          <w:shd w:val="clear" w:color="auto" w:fill="FFFFFF"/>
        </w:rPr>
        <w:t>的本级财政支出，包括基本支出和项目支出</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不包括省级转移支付资金</w:t>
      </w:r>
      <w:r>
        <w:rPr>
          <w:rFonts w:hint="eastAsia" w:ascii="Times New Roman" w:hAnsi="宋体" w:cs="Times New Roman"/>
          <w:color w:val="000000"/>
          <w:sz w:val="28"/>
          <w:szCs w:val="28"/>
          <w:shd w:val="clear" w:color="auto" w:fill="FFFFFF"/>
        </w:rPr>
        <w:t>、往来资金、</w:t>
      </w:r>
      <w:r>
        <w:rPr>
          <w:rFonts w:hint="eastAsia" w:ascii="Times New Roman" w:hAnsi="DJMRCP+FangSong_GB2312" w:cs="Times New Roman"/>
          <w:color w:val="000000"/>
          <w:sz w:val="28"/>
        </w:rPr>
        <w:t>沿用</w:t>
      </w:r>
      <w:r>
        <w:rPr>
          <w:rFonts w:hint="eastAsia" w:ascii="Times New Roman" w:hAnsi="宋体" w:cs="Times New Roman"/>
          <w:color w:val="000000"/>
          <w:sz w:val="28"/>
          <w:szCs w:val="28"/>
          <w:shd w:val="clear" w:color="auto" w:fill="FFFFFF"/>
        </w:rPr>
        <w:t>以前年度结余资金</w:t>
      </w:r>
      <w:r>
        <w:rPr>
          <w:rFonts w:hint="eastAsia" w:ascii="Times New Roman" w:hAnsi="宋体" w:cs="Times New Roman"/>
          <w:color w:val="000000"/>
          <w:sz w:val="28"/>
          <w:szCs w:val="28"/>
          <w:shd w:val="clear" w:color="auto" w:fill="FFFFFF"/>
          <w:lang w:val="en-US" w:eastAsia="zh-CN"/>
        </w:rPr>
        <w:t>及调剂资金</w:t>
      </w:r>
      <w:r>
        <w:rPr>
          <w:rFonts w:hint="eastAsia" w:ascii="Times New Roman" w:hAnsi="宋体" w:cs="Times New Roman"/>
          <w:color w:val="000000"/>
          <w:sz w:val="28"/>
          <w:szCs w:val="28"/>
          <w:shd w:val="clear" w:color="auto" w:fill="FFFFFF"/>
        </w:rPr>
        <w:t>。</w:t>
      </w:r>
    </w:p>
    <w:p>
      <w:pPr>
        <w:widowControl/>
        <w:shd w:val="clear" w:color="auto" w:fill="FFFFFF"/>
        <w:ind w:firstLine="562" w:firstLineChars="20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w:t>
      </w:r>
      <w:r>
        <w:rPr>
          <w:rFonts w:ascii="Times New Roman" w:hAnsi="宋体" w:cs="Times New Roman"/>
          <w:b/>
          <w:color w:val="000000"/>
          <w:sz w:val="28"/>
          <w:szCs w:val="28"/>
          <w:shd w:val="clear" w:color="auto" w:fill="FFFFFF"/>
        </w:rPr>
        <w:t>、指标设计</w:t>
      </w:r>
    </w:p>
    <w:p>
      <w:pPr>
        <w:widowControl/>
        <w:shd w:val="clear" w:color="auto" w:fill="FFFFFF"/>
        <w:ind w:firstLine="560" w:firstLineChars="200"/>
        <w:rPr>
          <w:rFonts w:ascii="Times New Roman" w:hAnsi="宋体" w:cs="Times New Roman"/>
          <w:color w:val="000000"/>
          <w:sz w:val="28"/>
          <w:szCs w:val="28"/>
          <w:shd w:val="clear" w:color="auto" w:fill="FFFFFF"/>
        </w:rPr>
      </w:pPr>
      <w:r>
        <w:rPr>
          <w:rFonts w:hint="eastAsia" w:ascii="宋体" w:hAnsi="宋体" w:cs="Times New Roman"/>
          <w:color w:val="000000"/>
          <w:sz w:val="28"/>
          <w:szCs w:val="28"/>
          <w:shd w:val="clear" w:color="auto" w:fill="FFFFFF"/>
        </w:rPr>
        <w:t>通过前期走访、资料搜集，了解部门基本情况，包括单位</w:t>
      </w:r>
      <w:r>
        <w:rPr>
          <w:rFonts w:hint="eastAsia" w:ascii="宋体" w:hAnsi="宋体" w:cs="Times New Roman"/>
          <w:color w:val="000000"/>
          <w:sz w:val="28"/>
          <w:szCs w:val="28"/>
          <w:shd w:val="clear" w:color="auto" w:fill="FFFFFF"/>
          <w:lang w:eastAsia="zh-CN"/>
        </w:rPr>
        <w:t>“</w:t>
      </w:r>
      <w:r>
        <w:rPr>
          <w:rFonts w:hint="eastAsia" w:ascii="宋体" w:hAnsi="宋体" w:cs="Times New Roman"/>
          <w:color w:val="000000"/>
          <w:sz w:val="28"/>
          <w:szCs w:val="28"/>
          <w:shd w:val="clear" w:color="auto" w:fill="FFFFFF"/>
        </w:rPr>
        <w:t>三定</w:t>
      </w:r>
      <w:r>
        <w:rPr>
          <w:rFonts w:hint="eastAsia" w:ascii="宋体" w:hAnsi="宋体" w:cs="Times New Roman"/>
          <w:color w:val="000000"/>
          <w:sz w:val="28"/>
          <w:szCs w:val="28"/>
          <w:shd w:val="clear" w:color="auto" w:fill="FFFFFF"/>
          <w:lang w:eastAsia="zh-CN"/>
        </w:rPr>
        <w:t>”</w:t>
      </w:r>
      <w:r>
        <w:rPr>
          <w:rFonts w:hint="eastAsia" w:ascii="宋体" w:hAnsi="宋体" w:cs="Times New Roman"/>
          <w:color w:val="000000"/>
          <w:sz w:val="28"/>
          <w:szCs w:val="28"/>
          <w:shd w:val="clear" w:color="auto" w:fill="FFFFFF"/>
        </w:rPr>
        <w:t>方案、年度工作计划和工作重点、管理模式、实施的重点项目等，基于对整体情况的总括认识，确定了评价指标设计思路：以单位</w:t>
      </w:r>
      <w:r>
        <w:rPr>
          <w:rFonts w:ascii="Times New Roman" w:hAnsi="宋体" w:cs="Times New Roman"/>
          <w:color w:val="000000"/>
          <w:sz w:val="28"/>
          <w:szCs w:val="28"/>
          <w:shd w:val="clear" w:color="auto" w:fill="FFFFFF"/>
        </w:rPr>
        <w:t>职能为核心、以资金和管理路径为主线设计评价指标体系，在</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预算绩效评价共性指标体系框架</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财预[2013]5</w:t>
      </w:r>
      <w:r>
        <w:rPr>
          <w:rFonts w:hint="eastAsia" w:ascii="Times New Roman" w:hAnsi="宋体" w:cs="Times New Roman"/>
          <w:color w:val="000000"/>
          <w:sz w:val="28"/>
          <w:szCs w:val="28"/>
          <w:shd w:val="clear" w:color="auto" w:fill="FFFFFF"/>
        </w:rPr>
        <w:t>3）的基础上结合</w:t>
      </w:r>
      <w:r>
        <w:rPr>
          <w:rFonts w:hint="eastAsia" w:ascii="Times New Roman" w:hAnsi="宋体" w:cs="Times New Roman"/>
          <w:color w:val="000000"/>
          <w:sz w:val="28"/>
          <w:szCs w:val="28"/>
          <w:shd w:val="clear" w:color="auto" w:fill="FFFFFF"/>
          <w:lang w:val="en-US" w:eastAsia="zh-CN"/>
        </w:rPr>
        <w:t>宿州</w:t>
      </w:r>
      <w:r>
        <w:rPr>
          <w:rFonts w:hint="eastAsia" w:ascii="Times New Roman" w:hAnsi="宋体" w:cs="Times New Roman"/>
          <w:color w:val="000000"/>
          <w:sz w:val="28"/>
          <w:szCs w:val="28"/>
          <w:shd w:val="clear" w:color="auto" w:fill="FFFFFF"/>
        </w:rPr>
        <w:t>市治超处的实际情况，对相关指标进行了修订、完善，</w:t>
      </w:r>
      <w:r>
        <w:rPr>
          <w:rFonts w:ascii="Times New Roman" w:hAnsi="宋体" w:cs="Times New Roman"/>
          <w:color w:val="000000"/>
          <w:sz w:val="28"/>
          <w:szCs w:val="28"/>
          <w:shd w:val="clear" w:color="auto" w:fill="FFFFFF"/>
        </w:rPr>
        <w:t>以求客观</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真实</w:t>
      </w:r>
      <w:r>
        <w:rPr>
          <w:rFonts w:hint="eastAsia" w:ascii="Times New Roman" w:hAnsi="宋体" w:cs="Times New Roman"/>
          <w:color w:val="000000"/>
          <w:sz w:val="28"/>
          <w:szCs w:val="28"/>
          <w:shd w:val="clear" w:color="auto" w:fill="FFFFFF"/>
        </w:rPr>
        <w:t>、</w:t>
      </w:r>
      <w:r>
        <w:rPr>
          <w:rFonts w:ascii="Times New Roman" w:hAnsi="宋体" w:cs="Times New Roman"/>
          <w:color w:val="000000"/>
          <w:sz w:val="28"/>
          <w:szCs w:val="28"/>
          <w:shd w:val="clear" w:color="auto" w:fill="FFFFFF"/>
        </w:rPr>
        <w:t>全面</w:t>
      </w:r>
      <w:r>
        <w:rPr>
          <w:rFonts w:hint="eastAsia" w:ascii="Times New Roman" w:hAnsi="宋体" w:cs="Times New Roman"/>
          <w:color w:val="000000"/>
          <w:sz w:val="28"/>
          <w:szCs w:val="28"/>
          <w:shd w:val="clear" w:color="auto" w:fill="FFFFFF"/>
        </w:rPr>
        <w:t>地考量宿州市</w:t>
      </w:r>
      <w:r>
        <w:rPr>
          <w:rFonts w:ascii="Times New Roman" w:hAnsi="宋体" w:cs="Times New Roman"/>
          <w:color w:val="000000"/>
          <w:sz w:val="28"/>
          <w:szCs w:val="28"/>
          <w:shd w:val="clear" w:color="auto" w:fill="FFFFFF"/>
        </w:rPr>
        <w:t>治超处</w:t>
      </w:r>
      <w:r>
        <w:rPr>
          <w:rFonts w:hint="eastAsia" w:ascii="Times New Roman" w:hAnsi="宋体" w:cs="Times New Roman"/>
          <w:color w:val="000000"/>
          <w:sz w:val="28"/>
          <w:szCs w:val="28"/>
          <w:shd w:val="clear" w:color="auto" w:fill="FFFFFF"/>
        </w:rPr>
        <w:t>202</w:t>
      </w:r>
      <w:r>
        <w:rPr>
          <w:rFonts w:hint="eastAsia" w:ascii="Times New Roman" w:hAnsi="宋体" w:cs="Times New Roman"/>
          <w:color w:val="000000"/>
          <w:sz w:val="28"/>
          <w:szCs w:val="28"/>
          <w:shd w:val="clear" w:color="auto" w:fill="FFFFFF"/>
          <w:lang w:val="en-US" w:eastAsia="zh-CN"/>
        </w:rPr>
        <w:t>2</w:t>
      </w:r>
      <w:r>
        <w:rPr>
          <w:rFonts w:hint="eastAsia" w:ascii="Times New Roman" w:hAnsi="宋体" w:cs="Times New Roman"/>
          <w:color w:val="000000"/>
          <w:sz w:val="28"/>
          <w:szCs w:val="28"/>
          <w:shd w:val="clear" w:color="auto" w:fill="FFFFFF"/>
        </w:rPr>
        <w:t>年度的决策管理能力及</w:t>
      </w:r>
      <w:r>
        <w:rPr>
          <w:rFonts w:hint="eastAsia" w:ascii="Times New Roman" w:hAnsi="宋体" w:cs="Times New Roman"/>
          <w:color w:val="000000"/>
          <w:sz w:val="28"/>
          <w:szCs w:val="28"/>
          <w:shd w:val="clear" w:color="auto" w:fill="FFFFFF"/>
          <w:lang w:val="en-US" w:eastAsia="zh-CN"/>
        </w:rPr>
        <w:t>履职</w:t>
      </w:r>
      <w:r>
        <w:rPr>
          <w:rFonts w:hint="eastAsia" w:ascii="Times New Roman" w:hAnsi="宋体" w:cs="Times New Roman"/>
          <w:color w:val="000000"/>
          <w:sz w:val="28"/>
          <w:szCs w:val="28"/>
          <w:shd w:val="clear" w:color="auto" w:fill="FFFFFF"/>
        </w:rPr>
        <w:t>成效。</w:t>
      </w:r>
    </w:p>
    <w:p>
      <w:pPr>
        <w:widowControl/>
        <w:ind w:firstLine="560" w:firstLineChars="20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评价指标体系分别从</w:t>
      </w:r>
      <w:r>
        <w:rPr>
          <w:rFonts w:hint="eastAsia" w:ascii="Times New Roman" w:hAnsi="Times New Roman" w:cs="Times New Roman"/>
          <w:color w:val="000000"/>
          <w:sz w:val="28"/>
          <w:szCs w:val="28"/>
          <w:shd w:val="clear" w:color="auto" w:fill="FFFFFF"/>
        </w:rPr>
        <w:t>单位</w:t>
      </w:r>
      <w:r>
        <w:rPr>
          <w:rFonts w:ascii="Times New Roman" w:hAnsi="Times New Roman" w:cs="Times New Roman"/>
          <w:color w:val="000000"/>
          <w:sz w:val="28"/>
          <w:szCs w:val="28"/>
          <w:shd w:val="clear" w:color="auto" w:fill="FFFFFF"/>
        </w:rPr>
        <w:t>决策、</w:t>
      </w:r>
      <w:r>
        <w:rPr>
          <w:rFonts w:hint="eastAsia" w:ascii="Times New Roman" w:hAnsi="Times New Roman" w:cs="Times New Roman"/>
          <w:color w:val="000000"/>
          <w:sz w:val="28"/>
          <w:szCs w:val="28"/>
          <w:shd w:val="clear" w:color="auto" w:fill="FFFFFF"/>
        </w:rPr>
        <w:t>单位</w:t>
      </w:r>
      <w:r>
        <w:rPr>
          <w:rFonts w:ascii="Times New Roman" w:hAnsi="Times New Roman" w:cs="Times New Roman"/>
          <w:color w:val="000000"/>
          <w:sz w:val="28"/>
          <w:szCs w:val="28"/>
          <w:shd w:val="clear" w:color="auto" w:fill="FFFFFF"/>
        </w:rPr>
        <w:t>管理、履职产出、履职效果四个方面对</w:t>
      </w:r>
      <w:r>
        <w:rPr>
          <w:rFonts w:hint="eastAsia" w:ascii="Times New Roman" w:hAnsi="Times New Roman" w:cs="Times New Roman"/>
          <w:color w:val="000000"/>
          <w:sz w:val="28"/>
          <w:szCs w:val="28"/>
          <w:shd w:val="clear" w:color="auto" w:fill="FFFFFF"/>
        </w:rPr>
        <w:t>单位</w:t>
      </w:r>
      <w:r>
        <w:rPr>
          <w:rFonts w:ascii="Times New Roman" w:hAnsi="Times New Roman" w:cs="Times New Roman"/>
          <w:color w:val="000000"/>
          <w:sz w:val="28"/>
          <w:szCs w:val="28"/>
          <w:shd w:val="clear" w:color="auto" w:fill="FFFFFF"/>
        </w:rPr>
        <w:t>整体支出进行评价，权重分别为1</w:t>
      </w:r>
      <w:r>
        <w:rPr>
          <w:rFonts w:hint="eastAsia"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%、3</w:t>
      </w:r>
      <w:r>
        <w:rPr>
          <w:rFonts w:hint="eastAsia"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w:t>
      </w:r>
      <w:r>
        <w:rPr>
          <w:rFonts w:hint="eastAsia" w:ascii="Times New Roman" w:hAnsi="Times New Roman" w:cs="Times New Roman"/>
          <w:color w:val="000000"/>
          <w:sz w:val="28"/>
          <w:szCs w:val="28"/>
          <w:shd w:val="clear" w:color="auto" w:fill="FFFFFF"/>
        </w:rPr>
        <w:t>29</w:t>
      </w:r>
      <w:r>
        <w:rPr>
          <w:rFonts w:ascii="Times New Roman" w:hAnsi="Times New Roman" w:cs="Times New Roman"/>
          <w:color w:val="000000"/>
          <w:sz w:val="28"/>
          <w:szCs w:val="28"/>
          <w:shd w:val="clear" w:color="auto" w:fill="FFFFFF"/>
        </w:rPr>
        <w:t>%和2</w:t>
      </w:r>
      <w:r>
        <w:rPr>
          <w:rFonts w:hint="eastAsia"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%。指标权重设计遵循了以结果为导向原则，</w:t>
      </w:r>
      <w:r>
        <w:rPr>
          <w:rFonts w:hint="eastAsia" w:ascii="Times New Roman" w:hAnsi="Times New Roman" w:cs="Times New Roman"/>
          <w:color w:val="000000"/>
          <w:sz w:val="28"/>
          <w:szCs w:val="28"/>
          <w:shd w:val="clear" w:color="auto" w:fill="FFFFFF"/>
        </w:rPr>
        <w:t>同时</w:t>
      </w:r>
      <w:r>
        <w:rPr>
          <w:rFonts w:ascii="Times New Roman" w:hAnsi="Times New Roman" w:cs="Times New Roman"/>
          <w:color w:val="000000"/>
          <w:sz w:val="28"/>
          <w:szCs w:val="28"/>
          <w:shd w:val="clear" w:color="auto" w:fill="FFFFFF"/>
        </w:rPr>
        <w:t>关注过程管理。</w:t>
      </w:r>
    </w:p>
    <w:p>
      <w:pPr>
        <w:widowControl/>
        <w:ind w:firstLine="560" w:firstLineChars="200"/>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绩效评估结果分为优、良、中、差四个等级：90（含）-100分为优、80（含）-89分为良、60（含）-79分为中、60分以下为差。</w:t>
      </w:r>
    </w:p>
    <w:p>
      <w:pPr>
        <w:widowControl/>
        <w:numPr>
          <w:ilvl w:val="0"/>
          <w:numId w:val="1"/>
        </w:numPr>
        <w:ind w:firstLine="562" w:firstLineChars="200"/>
        <w:jc w:val="left"/>
        <w:rPr>
          <w:rFonts w:hint="eastAsia" w:ascii="Times New Roman" w:hAnsi="Times New Roman" w:cs="Times New Roman"/>
          <w:b/>
          <w:color w:val="000000"/>
          <w:sz w:val="28"/>
          <w:szCs w:val="28"/>
          <w:shd w:val="clear" w:color="auto" w:fill="FFFFFF"/>
        </w:rPr>
      </w:pPr>
      <w:r>
        <w:rPr>
          <w:rFonts w:hint="eastAsia" w:ascii="Times New Roman" w:hAnsi="Times New Roman" w:cs="Times New Roman"/>
          <w:b/>
          <w:color w:val="000000"/>
          <w:sz w:val="28"/>
          <w:szCs w:val="28"/>
          <w:shd w:val="clear" w:color="auto" w:fill="FFFFFF"/>
        </w:rPr>
        <w:t>绩效评价的方法</w:t>
      </w:r>
    </w:p>
    <w:p>
      <w:pPr>
        <w:widowControl/>
        <w:numPr>
          <w:numId w:val="0"/>
        </w:numPr>
        <w:ind w:firstLine="560" w:firstLineChars="200"/>
        <w:jc w:val="left"/>
        <w:rPr>
          <w:rFonts w:hint="eastAsia" w:ascii="Times New Roman" w:cs="Times New Roman"/>
          <w:sz w:val="28"/>
          <w:szCs w:val="28"/>
          <w:lang w:val="en-US" w:eastAsia="zh-CN"/>
        </w:rPr>
      </w:pPr>
      <w:r>
        <w:rPr>
          <w:rFonts w:hint="eastAsia" w:ascii="Times New Roman" w:cs="Times New Roman"/>
          <w:sz w:val="28"/>
          <w:szCs w:val="28"/>
          <w:lang w:val="en-US" w:eastAsia="zh-CN"/>
        </w:rPr>
        <w:t>接受</w:t>
      </w:r>
      <w:r>
        <w:rPr>
          <w:rFonts w:ascii="Times New Roman" w:cs="Times New Roman"/>
          <w:sz w:val="28"/>
          <w:szCs w:val="28"/>
        </w:rPr>
        <w:t>委托</w:t>
      </w:r>
      <w:r>
        <w:rPr>
          <w:rFonts w:hint="eastAsia" w:ascii="Times New Roman" w:cs="Times New Roman"/>
          <w:sz w:val="28"/>
          <w:szCs w:val="28"/>
          <w:lang w:val="en-US" w:eastAsia="zh-CN"/>
        </w:rPr>
        <w:t>后</w:t>
      </w:r>
      <w:r>
        <w:rPr>
          <w:rFonts w:ascii="Times New Roman" w:cs="Times New Roman"/>
          <w:sz w:val="28"/>
          <w:szCs w:val="28"/>
        </w:rPr>
        <w:t>，安徽同信会计师事务所（普通合伙）成立了项目绩效评价小组，</w:t>
      </w:r>
      <w:r>
        <w:rPr>
          <w:rFonts w:hint="eastAsia" w:ascii="Times New Roman" w:cs="Times New Roman"/>
          <w:sz w:val="28"/>
          <w:szCs w:val="28"/>
          <w:lang w:val="en-US" w:eastAsia="zh-CN"/>
        </w:rPr>
        <w:t>并对成员进行了明确分工。</w:t>
      </w:r>
    </w:p>
    <w:p>
      <w:pPr>
        <w:widowControl w:val="0"/>
        <w:wordWrap/>
        <w:adjustRightInd/>
        <w:snapToGrid/>
        <w:spacing w:line="600" w:lineRule="exact"/>
        <w:ind w:firstLine="552"/>
        <w:textAlignment w:val="auto"/>
        <w:rPr>
          <w:rFonts w:hint="eastAsia" w:ascii="Times New Roman" w:cs="Times New Roman"/>
          <w:sz w:val="28"/>
          <w:szCs w:val="28"/>
          <w:lang w:val="en-US" w:eastAsia="zh-CN"/>
        </w:rPr>
      </w:pPr>
      <w:r>
        <w:rPr>
          <w:rFonts w:ascii="Times New Roman" w:cs="Times New Roman"/>
          <w:sz w:val="28"/>
          <w:szCs w:val="28"/>
        </w:rPr>
        <w:t>绩效评价小组</w:t>
      </w:r>
      <w:r>
        <w:rPr>
          <w:rFonts w:hint="eastAsia" w:ascii="Times New Roman" w:cs="Times New Roman"/>
          <w:sz w:val="28"/>
          <w:szCs w:val="28"/>
          <w:lang w:val="en-US" w:eastAsia="zh-CN"/>
        </w:rPr>
        <w:t>根据整体支出绩效评价的评价要点，结合宿州市治超处的自身职责，草拟前期资料清单，开展前期资料的收集和整理工作，通过分类整理，对相关资料内容的完备性、数据准确性和勾稽关系进行审核。</w:t>
      </w:r>
    </w:p>
    <w:p>
      <w:pPr>
        <w:pStyle w:val="6"/>
        <w:widowControl w:val="0"/>
        <w:wordWrap/>
        <w:adjustRightInd/>
        <w:snapToGrid/>
        <w:spacing w:line="600" w:lineRule="exact"/>
        <w:ind w:left="0" w:leftChars="0" w:firstLine="560" w:firstLineChars="200"/>
        <w:textAlignment w:val="auto"/>
        <w:rPr>
          <w:rFonts w:hint="default" w:ascii="Times New Roman" w:hAnsi="Calibri" w:eastAsia="宋体" w:cs="Times New Roman"/>
          <w:kern w:val="2"/>
          <w:sz w:val="28"/>
          <w:szCs w:val="28"/>
          <w:lang w:val="en-US" w:eastAsia="zh-CN" w:bidi="ar-SA"/>
        </w:rPr>
      </w:pPr>
      <w:r>
        <w:rPr>
          <w:rFonts w:hint="eastAsia" w:ascii="Times New Roman" w:hAnsi="Calibri" w:eastAsia="宋体" w:cs="Times New Roman"/>
          <w:kern w:val="2"/>
          <w:sz w:val="28"/>
          <w:szCs w:val="28"/>
          <w:lang w:val="en-US" w:eastAsia="zh-CN" w:bidi="ar-SA"/>
        </w:rPr>
        <w:t>制定评价指标体系，</w:t>
      </w:r>
      <w:r>
        <w:rPr>
          <w:rFonts w:hint="eastAsia" w:ascii="Times New Roman" w:cs="Times New Roman"/>
          <w:kern w:val="2"/>
          <w:sz w:val="28"/>
          <w:szCs w:val="28"/>
          <w:lang w:val="en-US" w:eastAsia="zh-CN" w:bidi="ar-SA"/>
        </w:rPr>
        <w:t>在评价小组中对评价指标的适用性和合理性进行讨论。</w:t>
      </w:r>
    </w:p>
    <w:p>
      <w:pPr>
        <w:ind w:firstLine="552"/>
        <w:rPr>
          <w:sz w:val="28"/>
          <w:szCs w:val="28"/>
        </w:rPr>
      </w:pPr>
      <w:r>
        <w:rPr>
          <w:rFonts w:ascii="Times New Roman" w:cs="Times New Roman"/>
          <w:sz w:val="28"/>
          <w:szCs w:val="28"/>
        </w:rPr>
        <w:t>评价小组于202</w:t>
      </w:r>
      <w:r>
        <w:rPr>
          <w:rFonts w:hint="eastAsia" w:ascii="Times New Roman" w:cs="Times New Roman"/>
          <w:sz w:val="28"/>
          <w:szCs w:val="28"/>
          <w:lang w:val="en-US" w:eastAsia="zh-CN"/>
        </w:rPr>
        <w:t>3</w:t>
      </w:r>
      <w:r>
        <w:rPr>
          <w:rFonts w:ascii="Times New Roman" w:cs="Times New Roman"/>
          <w:sz w:val="28"/>
          <w:szCs w:val="28"/>
        </w:rPr>
        <w:t>年</w:t>
      </w:r>
      <w:r>
        <w:rPr>
          <w:rFonts w:hint="eastAsia" w:ascii="Times New Roman" w:cs="Times New Roman"/>
          <w:sz w:val="28"/>
          <w:szCs w:val="28"/>
          <w:lang w:val="en-US" w:eastAsia="zh-CN"/>
        </w:rPr>
        <w:t>3</w:t>
      </w:r>
      <w:r>
        <w:rPr>
          <w:rFonts w:ascii="Times New Roman" w:cs="Times New Roman"/>
          <w:sz w:val="28"/>
          <w:szCs w:val="28"/>
        </w:rPr>
        <w:t>月</w:t>
      </w:r>
      <w:r>
        <w:rPr>
          <w:rFonts w:hint="eastAsia" w:ascii="Times New Roman" w:cs="Times New Roman"/>
          <w:sz w:val="28"/>
          <w:szCs w:val="28"/>
          <w:lang w:val="en-US" w:eastAsia="zh-CN"/>
        </w:rPr>
        <w:t>2</w:t>
      </w:r>
      <w:r>
        <w:rPr>
          <w:rFonts w:ascii="Times New Roman" w:cs="Times New Roman"/>
          <w:sz w:val="28"/>
          <w:szCs w:val="28"/>
        </w:rPr>
        <w:t>8日至4月</w:t>
      </w:r>
      <w:r>
        <w:rPr>
          <w:rFonts w:hint="eastAsia" w:ascii="Times New Roman" w:cs="Times New Roman"/>
          <w:sz w:val="28"/>
          <w:szCs w:val="28"/>
          <w:lang w:val="en-US" w:eastAsia="zh-CN"/>
        </w:rPr>
        <w:t>7</w:t>
      </w:r>
      <w:r>
        <w:rPr>
          <w:rFonts w:ascii="Times New Roman" w:cs="Times New Roman"/>
          <w:sz w:val="28"/>
          <w:szCs w:val="28"/>
        </w:rPr>
        <w:t>日期间，赴</w:t>
      </w:r>
      <w:r>
        <w:rPr>
          <w:rFonts w:hint="eastAsia" w:ascii="Times New Roman" w:cs="Times New Roman"/>
          <w:sz w:val="28"/>
          <w:szCs w:val="28"/>
        </w:rPr>
        <w:t>宿州市治理超限超载管理处</w:t>
      </w:r>
      <w:r>
        <w:rPr>
          <w:rFonts w:ascii="Times New Roman" w:cs="Times New Roman"/>
          <w:sz w:val="28"/>
          <w:szCs w:val="28"/>
        </w:rPr>
        <w:t>具体开展绩效评价工作。评价工作</w:t>
      </w:r>
      <w:r>
        <w:rPr>
          <w:rFonts w:hint="eastAsia"/>
          <w:sz w:val="28"/>
          <w:szCs w:val="28"/>
        </w:rPr>
        <w:t>主要通过资料查阅、抽查财务记录、抽盘资产、询问查证、实地查勘等方式开展</w:t>
      </w:r>
      <w:r>
        <w:rPr>
          <w:rFonts w:hint="eastAsia"/>
          <w:sz w:val="28"/>
          <w:szCs w:val="28"/>
          <w:lang w:eastAsia="zh-CN"/>
        </w:rPr>
        <w:t>；</w:t>
      </w:r>
      <w:r>
        <w:rPr>
          <w:rFonts w:ascii="Times New Roman" w:cs="Times New Roman"/>
          <w:sz w:val="28"/>
          <w:szCs w:val="28"/>
        </w:rPr>
        <w:t>评价小组以上述方式获取的证据为基础，运用分析、比较等方法，按照评分标准对每一项指标进行打分，</w:t>
      </w:r>
      <w:r>
        <w:rPr>
          <w:rFonts w:hint="eastAsia"/>
          <w:sz w:val="28"/>
          <w:szCs w:val="28"/>
        </w:rPr>
        <w:t>总结单位履职取得的绩效</w:t>
      </w:r>
      <w:r>
        <w:rPr>
          <w:rFonts w:hint="eastAsia"/>
          <w:sz w:val="28"/>
          <w:szCs w:val="28"/>
          <w:lang w:val="en-US" w:eastAsia="zh-CN"/>
        </w:rPr>
        <w:t>以及</w:t>
      </w:r>
      <w:r>
        <w:rPr>
          <w:rFonts w:hint="eastAsia"/>
          <w:sz w:val="28"/>
          <w:szCs w:val="28"/>
        </w:rPr>
        <w:t>存在的问题，提出相应的意见与建议，与宿州市治超处交换意见，核实有关</w:t>
      </w:r>
      <w:r>
        <w:rPr>
          <w:rFonts w:hint="eastAsia"/>
          <w:sz w:val="28"/>
          <w:szCs w:val="28"/>
          <w:lang w:val="en-US" w:eastAsia="zh-CN"/>
        </w:rPr>
        <w:t>问题</w:t>
      </w:r>
      <w:r>
        <w:rPr>
          <w:rFonts w:hint="eastAsia"/>
          <w:sz w:val="28"/>
          <w:szCs w:val="28"/>
        </w:rPr>
        <w:t>，</w:t>
      </w:r>
      <w:r>
        <w:rPr>
          <w:rFonts w:hint="eastAsia"/>
          <w:sz w:val="28"/>
          <w:szCs w:val="28"/>
          <w:lang w:val="en-US" w:eastAsia="zh-CN"/>
        </w:rPr>
        <w:t>形成反馈意见，</w:t>
      </w:r>
      <w:r>
        <w:rPr>
          <w:rFonts w:hint="eastAsia" w:ascii="Times New Roman" w:cs="Times New Roman"/>
          <w:sz w:val="28"/>
          <w:szCs w:val="28"/>
          <w:lang w:val="en-US" w:eastAsia="zh-CN"/>
        </w:rPr>
        <w:t>在分析反馈意见的基础上对报告初稿进行修正，</w:t>
      </w:r>
      <w:r>
        <w:rPr>
          <w:rFonts w:hint="eastAsia"/>
          <w:sz w:val="28"/>
          <w:szCs w:val="28"/>
        </w:rPr>
        <w:t>形成最终结论并提交绩效评价报告。</w:t>
      </w:r>
    </w:p>
    <w:p>
      <w:pPr>
        <w:pStyle w:val="9"/>
        <w:numPr>
          <w:ilvl w:val="0"/>
          <w:numId w:val="2"/>
        </w:numPr>
        <w:tabs>
          <w:tab w:val="left" w:pos="760"/>
        </w:tabs>
        <w:ind w:firstLineChars="0"/>
        <w:jc w:val="left"/>
        <w:rPr>
          <w:rFonts w:ascii="宋体" w:hAnsi="宋体" w:cs="Times New Roman"/>
          <w:b/>
          <w:sz w:val="32"/>
          <w:szCs w:val="32"/>
        </w:rPr>
      </w:pPr>
      <w:r>
        <w:rPr>
          <w:rFonts w:hint="eastAsia" w:ascii="宋体" w:hAnsi="宋体" w:cs="Times New Roman"/>
          <w:b/>
          <w:sz w:val="32"/>
          <w:szCs w:val="32"/>
        </w:rPr>
        <w:t>评价结论</w:t>
      </w:r>
    </w:p>
    <w:p>
      <w:pPr>
        <w:tabs>
          <w:tab w:val="left" w:pos="760"/>
        </w:tabs>
        <w:ind w:left="710"/>
        <w:jc w:val="left"/>
        <w:rPr>
          <w:rFonts w:ascii="宋体" w:hAnsi="宋体" w:cs="Times New Roman"/>
          <w:b/>
          <w:sz w:val="32"/>
          <w:szCs w:val="32"/>
        </w:rPr>
      </w:pPr>
      <w:r>
        <w:rPr>
          <w:rFonts w:hint="eastAsia" w:ascii="宋体" w:hAnsi="宋体" w:cs="Times New Roman"/>
          <w:b/>
          <w:sz w:val="28"/>
          <w:szCs w:val="28"/>
        </w:rPr>
        <w:t>三.1总体评价</w:t>
      </w:r>
    </w:p>
    <w:p>
      <w:pPr>
        <w:spacing w:line="600" w:lineRule="exact"/>
        <w:ind w:firstLine="562" w:firstLineChars="200"/>
        <w:rPr>
          <w:b/>
          <w:sz w:val="28"/>
          <w:szCs w:val="28"/>
        </w:rPr>
      </w:pPr>
      <w:r>
        <w:rPr>
          <w:rFonts w:hint="eastAsia"/>
          <w:b/>
          <w:sz w:val="28"/>
          <w:szCs w:val="28"/>
        </w:rPr>
        <w:t>（一）单位整体支出评价结论</w:t>
      </w:r>
    </w:p>
    <w:p>
      <w:pPr>
        <w:widowControl w:val="0"/>
        <w:wordWrap/>
        <w:adjustRightInd/>
        <w:snapToGrid/>
        <w:spacing w:line="560" w:lineRule="exact"/>
        <w:ind w:firstLine="560" w:firstLineChars="200"/>
        <w:textAlignment w:val="auto"/>
        <w:rPr>
          <w:rFonts w:hint="eastAsia" w:ascii="Times New Roman" w:cs="Times New Roman"/>
          <w:sz w:val="28"/>
          <w:szCs w:val="28"/>
        </w:rPr>
      </w:pPr>
      <w:r>
        <w:rPr>
          <w:rFonts w:ascii="Times New Roman" w:hAnsi="Times New Roman" w:cs="Times New Roman"/>
          <w:sz w:val="28"/>
          <w:szCs w:val="28"/>
        </w:rPr>
        <w:t>202</w:t>
      </w:r>
      <w:r>
        <w:rPr>
          <w:rFonts w:hint="eastAsia" w:ascii="Times New Roman" w:hAnsi="Times New Roman" w:cs="Times New Roman"/>
          <w:sz w:val="28"/>
          <w:szCs w:val="28"/>
          <w:lang w:val="en-US" w:eastAsia="zh-CN"/>
        </w:rPr>
        <w:t>2</w:t>
      </w:r>
      <w:r>
        <w:rPr>
          <w:rFonts w:ascii="Times New Roman" w:cs="Times New Roman"/>
          <w:sz w:val="28"/>
          <w:szCs w:val="28"/>
        </w:rPr>
        <w:t>年，</w:t>
      </w:r>
      <w:r>
        <w:rPr>
          <w:rFonts w:hint="eastAsia" w:ascii="Times New Roman" w:cs="Times New Roman"/>
          <w:sz w:val="28"/>
          <w:szCs w:val="28"/>
          <w:lang w:val="en-US" w:eastAsia="zh-CN"/>
        </w:rPr>
        <w:t>宿州市治超处</w:t>
      </w:r>
      <w:r>
        <w:rPr>
          <w:rFonts w:hint="eastAsia" w:ascii="Times New Roman" w:cs="Times New Roman"/>
          <w:sz w:val="28"/>
          <w:szCs w:val="28"/>
        </w:rPr>
        <w:t>以党的十</w:t>
      </w:r>
      <w:r>
        <w:rPr>
          <w:rFonts w:hint="eastAsia" w:ascii="Times New Roman" w:cs="Times New Roman"/>
          <w:sz w:val="28"/>
          <w:szCs w:val="28"/>
          <w:lang w:val="en-US" w:eastAsia="zh-CN"/>
        </w:rPr>
        <w:t>九</w:t>
      </w:r>
      <w:r>
        <w:rPr>
          <w:rFonts w:hint="eastAsia" w:ascii="Times New Roman" w:cs="Times New Roman"/>
          <w:sz w:val="28"/>
          <w:szCs w:val="28"/>
        </w:rPr>
        <w:t>届</w:t>
      </w:r>
      <w:r>
        <w:rPr>
          <w:rFonts w:hint="eastAsia" w:ascii="Times New Roman" w:cs="Times New Roman"/>
          <w:sz w:val="28"/>
          <w:szCs w:val="28"/>
          <w:lang w:val="en-US" w:eastAsia="zh-CN"/>
        </w:rPr>
        <w:t>历次</w:t>
      </w:r>
      <w:r>
        <w:rPr>
          <w:rFonts w:hint="eastAsia" w:ascii="Times New Roman" w:cs="Times New Roman"/>
          <w:sz w:val="28"/>
          <w:szCs w:val="28"/>
        </w:rPr>
        <w:t>全会</w:t>
      </w:r>
      <w:r>
        <w:rPr>
          <w:rFonts w:hint="eastAsia" w:ascii="Times New Roman" w:cs="Times New Roman"/>
          <w:sz w:val="28"/>
          <w:szCs w:val="28"/>
          <w:lang w:eastAsia="zh-CN"/>
        </w:rPr>
        <w:t>、</w:t>
      </w:r>
      <w:r>
        <w:rPr>
          <w:rFonts w:hint="eastAsia" w:ascii="Times New Roman" w:cs="Times New Roman"/>
          <w:sz w:val="28"/>
          <w:szCs w:val="28"/>
          <w:lang w:val="en-US" w:eastAsia="zh-CN"/>
        </w:rPr>
        <w:t>二十大会议</w:t>
      </w:r>
      <w:r>
        <w:rPr>
          <w:rFonts w:hint="eastAsia" w:ascii="Times New Roman" w:cs="Times New Roman"/>
          <w:sz w:val="28"/>
          <w:szCs w:val="28"/>
        </w:rPr>
        <w:t>精神和学习讨论落实活动为指导，深入贯彻落实《安徽省治理货物运输车辆超限超载条例》和</w:t>
      </w:r>
      <w:r>
        <w:rPr>
          <w:rFonts w:hint="eastAsia" w:ascii="Times New Roman" w:cs="Times New Roman"/>
          <w:sz w:val="28"/>
          <w:szCs w:val="28"/>
          <w:lang w:val="en-US" w:eastAsia="zh-CN"/>
        </w:rPr>
        <w:t>省市2022年治超工作要点</w:t>
      </w:r>
      <w:r>
        <w:rPr>
          <w:rFonts w:hint="eastAsia" w:ascii="Times New Roman" w:cs="Times New Roman"/>
          <w:sz w:val="28"/>
          <w:szCs w:val="28"/>
        </w:rPr>
        <w:t>，充分发挥组织、协调、指导、督导的职能作用，积极推进联合治超常态化制度化，加治超源头治理、路面管控、科技治超力度，充分发挥固定治超站主阵地作用、落实区域治超联动机制，各项工作取得明显成效，营造良好交通环境</w:t>
      </w:r>
      <w:r>
        <w:rPr>
          <w:rFonts w:hint="eastAsia" w:ascii="Times New Roman" w:hAnsi="Times New Roman" w:cs="Times New Roman"/>
          <w:sz w:val="28"/>
          <w:szCs w:val="28"/>
        </w:rPr>
        <w:t>，</w:t>
      </w:r>
      <w:r>
        <w:rPr>
          <w:rFonts w:ascii="Times New Roman" w:hAnsi="Times New Roman" w:cs="Times New Roman"/>
          <w:sz w:val="28"/>
          <w:szCs w:val="28"/>
        </w:rPr>
        <w:t>为促进当地经济社会发展和改善</w:t>
      </w:r>
      <w:r>
        <w:rPr>
          <w:rFonts w:hint="eastAsia" w:ascii="Times New Roman" w:hAnsi="Times New Roman" w:cs="Times New Roman"/>
          <w:sz w:val="28"/>
          <w:szCs w:val="28"/>
        </w:rPr>
        <w:t>百姓</w:t>
      </w:r>
      <w:r>
        <w:rPr>
          <w:rFonts w:ascii="Times New Roman" w:hAnsi="Times New Roman" w:cs="Times New Roman"/>
          <w:sz w:val="28"/>
          <w:szCs w:val="28"/>
        </w:rPr>
        <w:t>出行环境作出积极贡献</w:t>
      </w:r>
      <w:r>
        <w:rPr>
          <w:rFonts w:hint="eastAsia" w:ascii="Times New Roman" w:cs="Times New Roman"/>
          <w:sz w:val="28"/>
          <w:szCs w:val="28"/>
        </w:rPr>
        <w:t>。</w:t>
      </w:r>
    </w:p>
    <w:p>
      <w:pPr>
        <w:widowControl/>
        <w:topLinePunct w:val="1"/>
        <w:ind w:firstLine="560" w:firstLineChars="200"/>
        <w:rPr>
          <w:rFonts w:ascii="Times New Roman" w:hAnsi="Times New Roman" w:cs="Times New Roman"/>
          <w:sz w:val="28"/>
          <w:szCs w:val="28"/>
        </w:rPr>
      </w:pPr>
      <w:r>
        <w:rPr>
          <w:rFonts w:ascii="Times New Roman" w:hAnsi="Times New Roman" w:cs="Times New Roman"/>
          <w:sz w:val="28"/>
          <w:szCs w:val="28"/>
        </w:rPr>
        <w:t>宿州市</w:t>
      </w:r>
      <w:r>
        <w:rPr>
          <w:rFonts w:hint="eastAsia" w:ascii="Times New Roman" w:hAnsi="Times New Roman" w:cs="Times New Roman"/>
          <w:sz w:val="28"/>
          <w:szCs w:val="28"/>
        </w:rPr>
        <w:t>治超处</w:t>
      </w:r>
      <w:r>
        <w:rPr>
          <w:rFonts w:ascii="Times New Roman" w:hAnsi="Times New Roman" w:cs="Times New Roman"/>
          <w:sz w:val="28"/>
          <w:szCs w:val="28"/>
        </w:rPr>
        <w:t>202</w:t>
      </w:r>
      <w:r>
        <w:rPr>
          <w:rFonts w:hint="eastAsia" w:ascii="Times New Roman" w:hAnsi="Times New Roman" w:cs="Times New Roman"/>
          <w:sz w:val="28"/>
          <w:szCs w:val="28"/>
          <w:lang w:val="en-US" w:eastAsia="zh-CN"/>
        </w:rPr>
        <w:t>2</w:t>
      </w:r>
      <w:r>
        <w:rPr>
          <w:rFonts w:ascii="Times New Roman" w:hAnsi="Times New Roman" w:cs="Times New Roman"/>
          <w:sz w:val="28"/>
          <w:szCs w:val="28"/>
        </w:rPr>
        <w:t>年度</w:t>
      </w:r>
      <w:r>
        <w:rPr>
          <w:rFonts w:hint="eastAsia" w:ascii="Times New Roman" w:hAnsi="Times New Roman" w:cs="Times New Roman"/>
          <w:sz w:val="28"/>
          <w:szCs w:val="28"/>
        </w:rPr>
        <w:t>单位</w:t>
      </w:r>
      <w:r>
        <w:rPr>
          <w:rFonts w:ascii="Times New Roman" w:hAnsi="Times New Roman" w:cs="Times New Roman"/>
          <w:sz w:val="28"/>
          <w:szCs w:val="28"/>
        </w:rPr>
        <w:t>整体支出绩效评价得分</w:t>
      </w:r>
      <w:r>
        <w:rPr>
          <w:rFonts w:hint="eastAsia" w:ascii="Times New Roman" w:hAnsi="Times New Roman" w:cs="Times New Roman"/>
          <w:sz w:val="28"/>
          <w:szCs w:val="28"/>
        </w:rPr>
        <w:t>9</w:t>
      </w: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分，评价等级为“优”。评分表如下：</w:t>
      </w:r>
    </w:p>
    <w:tbl>
      <w:tblPr>
        <w:tblW w:w="892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0"/>
        <w:gridCol w:w="2660"/>
        <w:gridCol w:w="2240"/>
        <w:gridCol w:w="11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266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122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宋体" w:cs="Times New Roman"/>
                <w:kern w:val="0"/>
                <w:sz w:val="20"/>
                <w:szCs w:val="20"/>
              </w:rPr>
            </w:pPr>
            <w:r>
              <w:rPr>
                <w:rFonts w:hint="eastAsia" w:ascii="楷体_GB2312" w:hAnsi="宋体" w:eastAsia="楷体_GB2312" w:cs="宋体"/>
                <w:kern w:val="0"/>
                <w:sz w:val="20"/>
                <w:szCs w:val="20"/>
              </w:rPr>
              <w:t>投      入  （</w:t>
            </w:r>
            <w:r>
              <w:rPr>
                <w:rFonts w:ascii="楷体_GB2312" w:hAnsi="宋体" w:eastAsia="楷体_GB2312" w:cs="宋体"/>
                <w:kern w:val="0"/>
                <w:sz w:val="20"/>
                <w:szCs w:val="20"/>
              </w:rPr>
              <w:t>17</w:t>
            </w:r>
            <w:r>
              <w:rPr>
                <w:rFonts w:hint="eastAsia" w:ascii="楷体_GB2312" w:hAnsi="宋体" w:eastAsia="楷体_GB2312" w:cs="宋体"/>
                <w:kern w:val="0"/>
                <w:sz w:val="20"/>
                <w:szCs w:val="20"/>
              </w:rPr>
              <w:t>分）</w:t>
            </w: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目标设定（</w:t>
            </w:r>
            <w:r>
              <w:rPr>
                <w:rFonts w:ascii="Times New Roman" w:hAnsi="Times New Roman" w:eastAsia="宋体" w:cs="Times New Roman"/>
                <w:kern w:val="0"/>
                <w:sz w:val="20"/>
                <w:szCs w:val="20"/>
              </w:rPr>
              <w:t>7</w:t>
            </w:r>
            <w:r>
              <w:rPr>
                <w:rFonts w:hint="eastAsia" w:ascii="楷体_GB2312" w:hAnsi="Times New Roman" w:eastAsia="楷体_GB2312" w:cs="Times New Roman"/>
                <w:kern w:val="0"/>
                <w:sz w:val="20"/>
                <w:szCs w:val="20"/>
              </w:rPr>
              <w:t>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绩效目标合理性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cs="Times New Roman"/>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绩效指标明确性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220"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预算配置（10分）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在职人员控制率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cs="Times New Roman"/>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预算编制科学性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cs="Times New Roman"/>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r>
              <w:rPr>
                <w:rFonts w:hint="eastAsia" w:ascii="楷体_GB2312" w:hAnsi="Times New Roman" w:eastAsia="楷体_GB2312" w:cs="Times New Roman"/>
                <w:kern w:val="0"/>
                <w:sz w:val="20"/>
                <w:szCs w:val="20"/>
              </w:rPr>
              <w:t>三公经费</w:t>
            </w:r>
            <w:r>
              <w:rPr>
                <w:rFonts w:ascii="Times New Roman" w:hAnsi="Times New Roman" w:eastAsia="宋体" w:cs="Times New Roman"/>
                <w:kern w:val="0"/>
                <w:sz w:val="20"/>
                <w:szCs w:val="20"/>
              </w:rPr>
              <w:t>”</w:t>
            </w:r>
            <w:r>
              <w:rPr>
                <w:rFonts w:hint="eastAsia" w:ascii="楷体_GB2312" w:hAnsi="Times New Roman" w:eastAsia="楷体_GB2312" w:cs="Times New Roman"/>
                <w:kern w:val="0"/>
                <w:sz w:val="20"/>
                <w:szCs w:val="20"/>
              </w:rPr>
              <w:t>变动率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sz w:val="20"/>
                <w:szCs w:val="20"/>
              </w:rPr>
            </w:pPr>
            <w:r>
              <w:rPr>
                <w:rFonts w:ascii="Times New Roman" w:hAnsi="Times New Roman" w:cs="Times New Roman"/>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重点支出安排率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过</w:t>
            </w:r>
            <w:r>
              <w:rPr>
                <w:rFonts w:ascii="Times New Roman" w:hAnsi="Times New Roman" w:eastAsia="宋体" w:cs="Times New Roman"/>
                <w:kern w:val="0"/>
                <w:sz w:val="20"/>
                <w:szCs w:val="20"/>
              </w:rPr>
              <w:t xml:space="preserve"> </w:t>
            </w:r>
            <w:r>
              <w:rPr>
                <w:rFonts w:hint="eastAsia" w:ascii="楷体_GB2312" w:hAnsi="Times New Roman" w:eastAsia="楷体_GB2312" w:cs="Times New Roman"/>
                <w:kern w:val="0"/>
                <w:sz w:val="20"/>
                <w:szCs w:val="20"/>
              </w:rPr>
              <w:t>程</w:t>
            </w:r>
            <w:r>
              <w:rPr>
                <w:rFonts w:ascii="Times New Roman" w:hAnsi="Times New Roman" w:eastAsia="宋体" w:cs="Times New Roman"/>
                <w:kern w:val="0"/>
                <w:sz w:val="20"/>
                <w:szCs w:val="20"/>
              </w:rPr>
              <w:t xml:space="preserve"> </w:t>
            </w:r>
            <w:r>
              <w:rPr>
                <w:rFonts w:hint="eastAsia" w:ascii="楷体_GB2312" w:hAnsi="Times New Roman" w:eastAsia="楷体_GB2312" w:cs="Times New Roman"/>
                <w:kern w:val="0"/>
                <w:sz w:val="20"/>
                <w:szCs w:val="20"/>
              </w:rPr>
              <w:t>（</w:t>
            </w:r>
            <w:r>
              <w:rPr>
                <w:rFonts w:ascii="Times New Roman" w:hAnsi="Times New Roman" w:eastAsia="宋体" w:cs="Times New Roman"/>
                <w:kern w:val="0"/>
                <w:sz w:val="20"/>
                <w:szCs w:val="20"/>
              </w:rPr>
              <w:t>3</w:t>
            </w:r>
            <w:r>
              <w:rPr>
                <w:rFonts w:hint="eastAsia" w:ascii="Times New Roman" w:hAnsi="Times New Roman" w:eastAsia="宋体" w:cs="Times New Roman"/>
                <w:kern w:val="0"/>
                <w:sz w:val="20"/>
                <w:szCs w:val="20"/>
              </w:rPr>
              <w:t>3</w:t>
            </w:r>
            <w:r>
              <w:rPr>
                <w:rFonts w:hint="eastAsia" w:ascii="楷体_GB2312" w:hAnsi="Times New Roman" w:eastAsia="楷体_GB2312" w:cs="Times New Roman"/>
                <w:kern w:val="0"/>
                <w:sz w:val="20"/>
                <w:szCs w:val="20"/>
              </w:rPr>
              <w:t>分）</w:t>
            </w: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预算执行（8分）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预算完成率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预算调整率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资金拨付及时性</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预算执行（8）</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结转结余率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公用经费控制率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r>
              <w:rPr>
                <w:rFonts w:hint="eastAsia" w:ascii="楷体_GB2312" w:hAnsi="Times New Roman" w:eastAsia="楷体_GB2312" w:cs="Times New Roman"/>
                <w:kern w:val="0"/>
                <w:sz w:val="20"/>
                <w:szCs w:val="20"/>
              </w:rPr>
              <w:t>三公经费</w:t>
            </w:r>
            <w:r>
              <w:rPr>
                <w:rFonts w:ascii="Times New Roman" w:hAnsi="Times New Roman" w:eastAsia="宋体" w:cs="Times New Roman"/>
                <w:kern w:val="0"/>
                <w:sz w:val="20"/>
                <w:szCs w:val="20"/>
              </w:rPr>
              <w:t>”</w:t>
            </w:r>
            <w:r>
              <w:rPr>
                <w:rFonts w:hint="eastAsia" w:ascii="楷体_GB2312" w:hAnsi="Times New Roman" w:eastAsia="楷体_GB2312" w:cs="Times New Roman"/>
                <w:kern w:val="0"/>
                <w:sz w:val="20"/>
                <w:szCs w:val="20"/>
              </w:rPr>
              <w:t>控制率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政府采购执行率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预算管理（</w:t>
            </w:r>
            <w:r>
              <w:rPr>
                <w:rFonts w:hint="eastAsia" w:ascii="Times New Roman" w:hAnsi="Times New Roman" w:eastAsia="宋体" w:cs="Times New Roman"/>
                <w:kern w:val="0"/>
                <w:sz w:val="20"/>
                <w:szCs w:val="20"/>
              </w:rPr>
              <w:t>9</w:t>
            </w:r>
            <w:r>
              <w:rPr>
                <w:rFonts w:hint="eastAsia" w:ascii="楷体_GB2312" w:hAnsi="Times New Roman" w:eastAsia="楷体_GB2312" w:cs="Times New Roman"/>
                <w:kern w:val="0"/>
                <w:sz w:val="20"/>
                <w:szCs w:val="20"/>
              </w:rPr>
              <w:t>）</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管理制度健全性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资金使用合规性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预决算信息公开性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基础信息完善性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资产管理（8分）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管理制度健全性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资产管理安全性</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固定资产利用率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产出（</w:t>
            </w:r>
            <w:r>
              <w:rPr>
                <w:rFonts w:ascii="Times New Roman" w:hAnsi="Times New Roman" w:eastAsia="宋体" w:cs="Times New Roman"/>
                <w:kern w:val="0"/>
                <w:sz w:val="20"/>
                <w:szCs w:val="20"/>
              </w:rPr>
              <w:t>2</w:t>
            </w:r>
            <w:r>
              <w:rPr>
                <w:rFonts w:hint="eastAsia" w:ascii="Times New Roman" w:hAnsi="Times New Roman" w:eastAsia="宋体" w:cs="Times New Roman"/>
                <w:kern w:val="0"/>
                <w:sz w:val="20"/>
                <w:szCs w:val="20"/>
              </w:rPr>
              <w:t>9</w:t>
            </w:r>
            <w:r>
              <w:rPr>
                <w:rFonts w:hint="eastAsia" w:ascii="楷体_GB2312" w:hAnsi="Times New Roman" w:eastAsia="楷体_GB2312" w:cs="Times New Roman"/>
                <w:kern w:val="0"/>
                <w:sz w:val="20"/>
                <w:szCs w:val="20"/>
              </w:rPr>
              <w:t>分）</w:t>
            </w: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履职产出（</w:t>
            </w:r>
            <w:r>
              <w:rPr>
                <w:rFonts w:ascii="Times New Roman" w:hAnsi="Times New Roman" w:eastAsia="宋体" w:cs="Times New Roman"/>
                <w:kern w:val="0"/>
                <w:sz w:val="20"/>
                <w:szCs w:val="20"/>
              </w:rPr>
              <w:t>2</w:t>
            </w:r>
            <w:r>
              <w:rPr>
                <w:rFonts w:hint="eastAsia" w:ascii="Times New Roman" w:hAnsi="Times New Roman" w:eastAsia="宋体" w:cs="Times New Roman"/>
                <w:kern w:val="0"/>
                <w:sz w:val="20"/>
                <w:szCs w:val="20"/>
              </w:rPr>
              <w:t>9</w:t>
            </w:r>
            <w:r>
              <w:rPr>
                <w:rFonts w:hint="eastAsia" w:ascii="楷体_GB2312" w:hAnsi="Times New Roman" w:eastAsia="楷体_GB2312" w:cs="Times New Roman"/>
                <w:kern w:val="0"/>
                <w:sz w:val="20"/>
                <w:szCs w:val="20"/>
              </w:rPr>
              <w:t>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实际完成率</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项目完成情况</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工作质量</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重点工作完成情况</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效果（</w:t>
            </w:r>
            <w:r>
              <w:rPr>
                <w:rFonts w:ascii="Times New Roman" w:hAnsi="Times New Roman" w:eastAsia="宋体" w:cs="Times New Roman"/>
                <w:kern w:val="0"/>
                <w:sz w:val="20"/>
                <w:szCs w:val="20"/>
              </w:rPr>
              <w:t>21</w:t>
            </w:r>
            <w:r>
              <w:rPr>
                <w:rFonts w:hint="eastAsia" w:ascii="楷体_GB2312" w:hAnsi="Times New Roman" w:eastAsia="楷体_GB2312" w:cs="Times New Roman"/>
                <w:kern w:val="0"/>
                <w:sz w:val="20"/>
                <w:szCs w:val="20"/>
              </w:rPr>
              <w:t>分）</w:t>
            </w:r>
          </w:p>
        </w:tc>
        <w:tc>
          <w:tcPr>
            <w:tcW w:w="266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履职效益（</w:t>
            </w:r>
            <w:r>
              <w:rPr>
                <w:rFonts w:ascii="Times New Roman" w:hAnsi="Times New Roman" w:eastAsia="宋体" w:cs="Times New Roman"/>
                <w:kern w:val="0"/>
                <w:sz w:val="20"/>
                <w:szCs w:val="20"/>
              </w:rPr>
              <w:t>21</w:t>
            </w:r>
            <w:r>
              <w:rPr>
                <w:rFonts w:hint="eastAsia" w:ascii="楷体_GB2312" w:hAnsi="Times New Roman" w:eastAsia="楷体_GB2312" w:cs="Times New Roman"/>
                <w:kern w:val="0"/>
                <w:sz w:val="20"/>
                <w:szCs w:val="20"/>
              </w:rPr>
              <w:t>分）</w:t>
            </w: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经济效益</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社会效益</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r>
              <w:rPr>
                <w:rFonts w:hint="eastAsia" w:ascii="楷体_GB2312" w:hAnsi="Times New Roman" w:eastAsia="楷体_GB2312" w:cs="Times New Roman"/>
                <w:kern w:val="0"/>
                <w:sz w:val="20"/>
                <w:szCs w:val="20"/>
              </w:rPr>
              <w:t>生态效益</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ascii="Times New Roman" w:hAnsi="Times New Roman" w:cs="Times New Roman"/>
                <w:b/>
                <w:bCs/>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240"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社会公众或服务对象满意度</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宋体" w:cs="Times New Roman"/>
                <w:b/>
                <w:bCs/>
                <w:sz w:val="20"/>
                <w:szCs w:val="20"/>
              </w:rPr>
            </w:pPr>
            <w:r>
              <w:rPr>
                <w:rFonts w:hint="eastAsia" w:ascii="Times New Roman" w:hAnsi="Times New Roman" w:cs="Times New Roman"/>
                <w:b/>
                <w:bCs/>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680" w:type="dxa"/>
            <w:tcBorders>
              <w:top w:val="nil"/>
              <w:left w:val="single" w:color="auto" w:sz="4" w:space="0"/>
              <w:bottom w:val="single" w:color="auto" w:sz="4" w:space="0"/>
              <w:right w:val="single" w:color="auto" w:sz="4" w:space="0"/>
            </w:tcBorders>
            <w:textDirection w:val="tbRlV"/>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90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Cs w:val="21"/>
              </w:rPr>
            </w:pPr>
          </w:p>
          <w:p>
            <w:pPr>
              <w:widowControl/>
              <w:jc w:val="center"/>
              <w:rPr>
                <w:rFonts w:ascii="Times New Roman" w:hAnsi="Times New Roman" w:eastAsia="宋体" w:cs="Times New Roman"/>
                <w:b/>
                <w:kern w:val="0"/>
                <w:szCs w:val="21"/>
              </w:rPr>
            </w:pPr>
            <w:r>
              <w:rPr>
                <w:rFonts w:hint="eastAsia" w:ascii="宋体" w:hAnsi="宋体" w:eastAsia="宋体" w:cs="Times New Roman"/>
                <w:b/>
                <w:kern w:val="0"/>
                <w:szCs w:val="21"/>
              </w:rPr>
              <w:t>合                计</w:t>
            </w:r>
          </w:p>
        </w:tc>
        <w:tc>
          <w:tcPr>
            <w:tcW w:w="112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9</w:t>
            </w:r>
            <w:r>
              <w:rPr>
                <w:rFonts w:hint="eastAsia" w:ascii="Times New Roman" w:hAnsi="Times New Roman" w:eastAsia="宋体" w:cs="Times New Roman"/>
                <w:kern w:val="0"/>
                <w:szCs w:val="21"/>
                <w:lang w:val="en-US" w:eastAsia="zh-CN"/>
              </w:rPr>
              <w:t>6</w:t>
            </w:r>
          </w:p>
        </w:tc>
      </w:tr>
    </w:tbl>
    <w:p>
      <w:pPr>
        <w:ind w:firstLine="422" w:firstLineChars="150"/>
        <w:rPr>
          <w:rFonts w:ascii="Times New Roman" w:hAnsi="Times New Roman" w:cs="Times New Roman"/>
          <w:b/>
          <w:sz w:val="28"/>
          <w:szCs w:val="28"/>
        </w:rPr>
      </w:pPr>
      <w:r>
        <w:rPr>
          <w:rFonts w:hint="eastAsia" w:ascii="Times New Roman" w:hAnsi="Times New Roman" w:cs="Times New Roman"/>
          <w:b/>
          <w:sz w:val="28"/>
          <w:szCs w:val="28"/>
        </w:rPr>
        <w:t>（二）重点项目绩效目标完成情况</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交通运输物流与治超信息平台运维及治超工作经费项目，满足于治超信息平台的运维费用和工作经费支出，项目周期为长期，预算资金</w:t>
      </w:r>
      <w:r>
        <w:rPr>
          <w:rFonts w:hint="eastAsia" w:ascii="Times New Roman" w:hAnsi="DJMRCP+FangSong_GB2312" w:cs="Times New Roman"/>
          <w:color w:val="000000"/>
          <w:sz w:val="28"/>
          <w:lang w:val="en-US" w:eastAsia="zh-CN"/>
        </w:rPr>
        <w:t>79</w:t>
      </w:r>
      <w:r>
        <w:rPr>
          <w:rFonts w:hint="eastAsia" w:ascii="Times New Roman" w:hAnsi="DJMRCP+FangSong_GB2312" w:cs="Times New Roman"/>
          <w:color w:val="000000"/>
          <w:sz w:val="28"/>
        </w:rPr>
        <w:t>万元，使用</w:t>
      </w:r>
      <w:r>
        <w:rPr>
          <w:rFonts w:hint="eastAsia" w:ascii="Times New Roman" w:hAnsi="DJMRCP+FangSong_GB2312" w:cs="Times New Roman"/>
          <w:color w:val="000000"/>
          <w:sz w:val="28"/>
          <w:lang w:val="en-US" w:eastAsia="zh-CN"/>
        </w:rPr>
        <w:t>78</w:t>
      </w:r>
      <w:r>
        <w:rPr>
          <w:rFonts w:hint="eastAsia" w:ascii="Times New Roman" w:hAnsi="DJMRCP+FangSong_GB2312" w:cs="Times New Roman"/>
          <w:color w:val="000000"/>
          <w:sz w:val="28"/>
        </w:rPr>
        <w:t>.</w:t>
      </w:r>
      <w:r>
        <w:rPr>
          <w:rFonts w:hint="eastAsia" w:ascii="Times New Roman" w:hAnsi="DJMRCP+FangSong_GB2312" w:cs="Times New Roman"/>
          <w:color w:val="000000"/>
          <w:sz w:val="28"/>
          <w:lang w:val="en-US" w:eastAsia="zh-CN"/>
        </w:rPr>
        <w:t>34</w:t>
      </w:r>
      <w:r>
        <w:rPr>
          <w:rFonts w:hint="eastAsia" w:ascii="Times New Roman" w:hAnsi="DJMRCP+FangSong_GB2312" w:cs="Times New Roman"/>
          <w:color w:val="000000"/>
          <w:sz w:val="28"/>
        </w:rPr>
        <w:t>万元。</w:t>
      </w:r>
    </w:p>
    <w:p>
      <w:pPr>
        <w:ind w:firstLine="560" w:firstLineChars="200"/>
        <w:rPr>
          <w:rFonts w:hint="eastAsia" w:ascii="Times New Roman" w:hAnsi="DJMRCP+FangSong_GB2312" w:cs="Times New Roman"/>
          <w:color w:val="000000"/>
          <w:sz w:val="28"/>
        </w:rPr>
      </w:pPr>
      <w:r>
        <w:rPr>
          <w:rFonts w:ascii="Times New Roman" w:hAnsi="DJMRCP+FangSong_GB2312" w:cs="Times New Roman"/>
          <w:color w:val="000000"/>
          <w:sz w:val="28"/>
        </w:rPr>
        <w:t>年度绩效目标</w:t>
      </w:r>
      <w:r>
        <w:rPr>
          <w:rFonts w:hint="eastAsia" w:ascii="Times New Roman" w:hAnsi="DJMRCP+FangSong_GB2312" w:cs="Times New Roman"/>
          <w:color w:val="000000"/>
          <w:sz w:val="28"/>
        </w:rPr>
        <w:t>： 1.逐步完善全市物流和治超建设，推动我市智慧城市不断发展，不断提高服务民生的能力和水平，2.有效降低超限超载货运车辆出场率；3.提升居民安全出行环境</w:t>
      </w:r>
      <w:r>
        <w:rPr>
          <w:rFonts w:ascii="Times New Roman" w:hAnsi="DJMRCP+FangSong_GB2312" w:cs="Times New Roman"/>
          <w:color w:val="000000"/>
          <w:sz w:val="28"/>
        </w:rPr>
        <w:t>。</w:t>
      </w:r>
      <w:r>
        <w:rPr>
          <w:rFonts w:hint="eastAsia" w:ascii="Times New Roman" w:hAnsi="DJMRCP+FangSong_GB2312" w:cs="Times New Roman"/>
          <w:color w:val="000000"/>
          <w:sz w:val="28"/>
        </w:rPr>
        <w:t>具体</w:t>
      </w:r>
      <w:r>
        <w:rPr>
          <w:rFonts w:hint="eastAsia" w:ascii="Times New Roman" w:hAnsi="Times New Roman" w:cs="Times New Roman"/>
          <w:sz w:val="28"/>
          <w:szCs w:val="28"/>
        </w:rPr>
        <w:t>指标：</w:t>
      </w:r>
      <w:r>
        <w:rPr>
          <w:rFonts w:hint="eastAsia" w:ascii="Times New Roman" w:hAnsi="Times New Roman"/>
          <w:sz w:val="28"/>
        </w:rPr>
        <w:t>超限超载货运车辆超载率低于0.50%；网络信息传输标准、清晰、及时；路面损毁率</w:t>
      </w:r>
      <w:r>
        <w:rPr>
          <w:rFonts w:hint="eastAsia" w:ascii="Times New Roman" w:hAnsi="Times New Roman"/>
          <w:sz w:val="28"/>
          <w:lang w:val="en-US" w:eastAsia="zh-CN"/>
        </w:rPr>
        <w:t>低于20</w:t>
      </w:r>
      <w:r>
        <w:rPr>
          <w:rFonts w:hint="eastAsia" w:ascii="Times New Roman" w:hAnsi="Times New Roman"/>
          <w:sz w:val="28"/>
        </w:rPr>
        <w:t>%；超限超载货运车辆事故发生率零。</w:t>
      </w:r>
      <w:r>
        <w:rPr>
          <w:rFonts w:hint="eastAsia" w:ascii="Times New Roman" w:hAnsi="DJMRCP+FangSong_GB2312" w:cs="Times New Roman"/>
          <w:color w:val="000000"/>
          <w:sz w:val="28"/>
        </w:rPr>
        <w:t xml:space="preserve"> </w:t>
      </w:r>
    </w:p>
    <w:p>
      <w:pPr>
        <w:tabs>
          <w:tab w:val="left" w:pos="550"/>
        </w:tabs>
        <w:ind w:firstLine="560"/>
        <w:rPr>
          <w:rFonts w:ascii="Times New Roman" w:hAnsi="Times New Roman"/>
          <w:sz w:val="28"/>
        </w:rPr>
      </w:pPr>
      <w:r>
        <w:rPr>
          <w:rFonts w:hint="eastAsia" w:ascii="Times New Roman" w:hAnsi="Times New Roman"/>
          <w:sz w:val="28"/>
        </w:rPr>
        <w:t>目标实现情况：超限超载货运车辆超载率0.</w:t>
      </w:r>
      <w:r>
        <w:rPr>
          <w:rFonts w:hint="eastAsia" w:ascii="Times New Roman" w:hAnsi="Times New Roman"/>
          <w:sz w:val="28"/>
          <w:lang w:val="en-US" w:eastAsia="zh-CN"/>
        </w:rPr>
        <w:t>49</w:t>
      </w:r>
      <w:r>
        <w:rPr>
          <w:rFonts w:hint="eastAsia" w:ascii="Times New Roman" w:hAnsi="Times New Roman"/>
          <w:sz w:val="28"/>
        </w:rPr>
        <w:t>%、</w:t>
      </w:r>
      <w:r>
        <w:rPr>
          <w:rFonts w:hint="eastAsia" w:ascii="Times New Roman" w:hAnsi="DJMRCP+FangSong_GB2312" w:cs="Times New Roman"/>
          <w:color w:val="000000"/>
          <w:sz w:val="28"/>
        </w:rPr>
        <w:t>超限超载货运车辆出场率0.</w:t>
      </w:r>
      <w:r>
        <w:rPr>
          <w:rFonts w:hint="eastAsia" w:ascii="Times New Roman" w:hAnsi="DJMRCP+FangSong_GB2312" w:cs="Times New Roman"/>
          <w:color w:val="000000"/>
          <w:sz w:val="28"/>
          <w:lang w:val="en-US" w:eastAsia="zh-CN"/>
        </w:rPr>
        <w:t>22</w:t>
      </w:r>
      <w:r>
        <w:rPr>
          <w:rFonts w:hint="eastAsia" w:ascii="Times New Roman" w:hAnsi="DJMRCP+FangSong_GB2312" w:cs="Times New Roman"/>
          <w:color w:val="000000"/>
          <w:sz w:val="28"/>
        </w:rPr>
        <w:t>%</w:t>
      </w:r>
      <w:r>
        <w:rPr>
          <w:rFonts w:hint="eastAsia" w:ascii="Times New Roman" w:hAnsi="Times New Roman"/>
          <w:sz w:val="28"/>
        </w:rPr>
        <w:t>，对路面毁损大为减少；监控画面清晰，传输及时；辖区无超限超载货运车辆事故发生，居民出行较为安全，</w:t>
      </w:r>
      <w:r>
        <w:rPr>
          <w:rFonts w:hint="eastAsia" w:ascii="Times New Roman" w:hAnsi="Times New Roman"/>
          <w:sz w:val="28"/>
          <w:lang w:val="en-US" w:eastAsia="zh-CN"/>
        </w:rPr>
        <w:t>绩效评价等级为“优”</w:t>
      </w:r>
      <w:r>
        <w:rPr>
          <w:rFonts w:hint="eastAsia" w:ascii="Times New Roman" w:hAnsi="Times New Roman"/>
          <w:sz w:val="28"/>
        </w:rPr>
        <w:t>。</w:t>
      </w:r>
    </w:p>
    <w:p>
      <w:pPr>
        <w:tabs>
          <w:tab w:val="left" w:pos="550"/>
        </w:tabs>
        <w:ind w:firstLine="560"/>
        <w:rPr>
          <w:rFonts w:ascii="Times New Roman" w:hAnsi="Times New Roman"/>
          <w:b/>
          <w:sz w:val="28"/>
        </w:rPr>
      </w:pPr>
      <w:r>
        <w:rPr>
          <w:rFonts w:hint="eastAsia" w:ascii="宋体" w:hAnsi="宋体" w:cs="Times New Roman"/>
          <w:b/>
          <w:sz w:val="28"/>
          <w:szCs w:val="28"/>
        </w:rPr>
        <w:t>三.2</w:t>
      </w:r>
      <w:r>
        <w:rPr>
          <w:rFonts w:hint="eastAsia" w:ascii="Times New Roman" w:hAnsi="Times New Roman"/>
          <w:b/>
          <w:sz w:val="28"/>
        </w:rPr>
        <w:t>单位整体支出指标分析</w:t>
      </w:r>
    </w:p>
    <w:p>
      <w:pPr>
        <w:ind w:firstLine="560" w:firstLineChars="200"/>
        <w:rPr>
          <w:rFonts w:ascii="Times New Roman" w:hAnsi="Times New Roman"/>
          <w:sz w:val="28"/>
        </w:rPr>
      </w:pPr>
      <w:r>
        <w:rPr>
          <w:rFonts w:hint="eastAsia" w:ascii="Times New Roman" w:hAnsi="Times New Roman"/>
          <w:sz w:val="28"/>
        </w:rPr>
        <w:t>1、绩效目标合理性：根据宿州市治超处提供的单位整体支出绩效目标表，预设绩效目标符合相关法规、顺应国民经济发展需要，</w:t>
      </w:r>
      <w:r>
        <w:rPr>
          <w:rFonts w:ascii="Times New Roman" w:cs="Times New Roman"/>
          <w:sz w:val="28"/>
          <w:szCs w:val="28"/>
        </w:rPr>
        <w:t>与</w:t>
      </w:r>
      <w:r>
        <w:rPr>
          <w:rFonts w:hint="eastAsia" w:ascii="Times New Roman" w:cs="Times New Roman"/>
          <w:sz w:val="28"/>
          <w:szCs w:val="28"/>
          <w:lang w:val="en-US" w:eastAsia="zh-CN"/>
        </w:rPr>
        <w:t>核定的</w:t>
      </w:r>
      <w:r>
        <w:rPr>
          <w:rFonts w:ascii="Times New Roman" w:cs="Times New Roman"/>
          <w:sz w:val="28"/>
          <w:szCs w:val="28"/>
        </w:rPr>
        <w:t>自身职能紧密相关</w:t>
      </w:r>
      <w:r>
        <w:rPr>
          <w:rFonts w:hint="eastAsia" w:ascii="Times New Roman" w:cs="Times New Roman"/>
          <w:sz w:val="28"/>
          <w:szCs w:val="28"/>
        </w:rPr>
        <w:t>，</w:t>
      </w:r>
      <w:r>
        <w:rPr>
          <w:rFonts w:ascii="Times New Roman" w:cs="Times New Roman"/>
          <w:sz w:val="28"/>
          <w:szCs w:val="28"/>
        </w:rPr>
        <w:t>符合宿州市交通运输十四五总体规划</w:t>
      </w:r>
      <w:r>
        <w:rPr>
          <w:rFonts w:hint="eastAsia" w:ascii="Times New Roman" w:hAnsi="Times New Roman"/>
          <w:sz w:val="28"/>
        </w:rPr>
        <w:t>。绩效目标合理合规，</w:t>
      </w:r>
      <w:r>
        <w:rPr>
          <w:rFonts w:ascii="Times New Roman" w:cs="Times New Roman"/>
          <w:sz w:val="28"/>
          <w:szCs w:val="28"/>
        </w:rPr>
        <w:t>该项指标标准分值</w:t>
      </w:r>
      <w:r>
        <w:rPr>
          <w:rFonts w:hint="eastAsia" w:ascii="Times New Roman" w:hAnsi="Times New Roman" w:cs="Times New Roman"/>
          <w:sz w:val="28"/>
          <w:szCs w:val="28"/>
          <w:lang w:val="en-US" w:eastAsia="zh-CN"/>
        </w:rPr>
        <w:t>3</w:t>
      </w:r>
      <w:r>
        <w:rPr>
          <w:rFonts w:ascii="Times New Roman" w:cs="Times New Roman"/>
          <w:sz w:val="28"/>
          <w:szCs w:val="28"/>
        </w:rPr>
        <w:t>分</w:t>
      </w:r>
      <w:r>
        <w:rPr>
          <w:rFonts w:hint="eastAsia" w:ascii="Times New Roman" w:cs="Times New Roman"/>
          <w:sz w:val="28"/>
          <w:szCs w:val="28"/>
          <w:lang w:eastAsia="zh-CN"/>
        </w:rPr>
        <w:t>，</w:t>
      </w:r>
      <w:r>
        <w:rPr>
          <w:rFonts w:hint="eastAsia" w:ascii="Times New Roman" w:cs="Times New Roman"/>
          <w:sz w:val="28"/>
          <w:szCs w:val="28"/>
          <w:lang w:val="en-US" w:eastAsia="zh-CN"/>
        </w:rPr>
        <w:t>评价</w:t>
      </w:r>
      <w:r>
        <w:rPr>
          <w:rFonts w:hint="eastAsia" w:ascii="Times New Roman" w:hAnsi="Times New Roman"/>
          <w:sz w:val="28"/>
        </w:rPr>
        <w:t>得3分。</w:t>
      </w:r>
    </w:p>
    <w:p>
      <w:pPr>
        <w:widowControl w:val="0"/>
        <w:wordWrap/>
        <w:adjustRightInd/>
        <w:snapToGrid/>
        <w:spacing w:line="610" w:lineRule="exact"/>
        <w:ind w:firstLine="560" w:firstLineChars="200"/>
        <w:textAlignment w:val="auto"/>
        <w:rPr>
          <w:rFonts w:ascii="Times New Roman" w:hAnsi="宋体" w:cs="Times New Roman"/>
          <w:sz w:val="28"/>
          <w:szCs w:val="28"/>
        </w:rPr>
      </w:pPr>
      <w:r>
        <w:rPr>
          <w:rFonts w:hint="eastAsia" w:ascii="Times New Roman" w:hAnsi="Times New Roman"/>
          <w:sz w:val="28"/>
        </w:rPr>
        <w:t>2、绩效指标明确性：将绩效目标进行细分为</w:t>
      </w:r>
      <w:r>
        <w:rPr>
          <w:rFonts w:hint="eastAsia" w:ascii="Times New Roman" w:hAnsi="Times New Roman"/>
          <w:sz w:val="28"/>
          <w:lang w:val="en-US" w:eastAsia="zh-CN"/>
        </w:rPr>
        <w:t>两</w:t>
      </w:r>
      <w:r>
        <w:rPr>
          <w:rFonts w:hint="eastAsia" w:ascii="Times New Roman" w:hAnsi="Times New Roman"/>
          <w:sz w:val="28"/>
        </w:rPr>
        <w:t>项主要工作任务，设置具体的指标值予以细化量化，指标清晰，指向明确</w:t>
      </w:r>
      <w:r>
        <w:rPr>
          <w:rFonts w:hint="eastAsia" w:ascii="Times New Roman" w:cs="Times New Roman"/>
          <w:sz w:val="28"/>
          <w:szCs w:val="28"/>
        </w:rPr>
        <w:t>。个别绩效指标，</w:t>
      </w:r>
      <w:r>
        <w:rPr>
          <w:rFonts w:hint="eastAsia" w:ascii="Times New Roman" w:hAnsi="宋体" w:cs="Times New Roman"/>
          <w:sz w:val="28"/>
          <w:szCs w:val="28"/>
        </w:rPr>
        <w:t>如质量指标</w:t>
      </w:r>
      <w:r>
        <w:rPr>
          <w:rFonts w:hint="eastAsia" w:ascii="Times New Roman" w:hAnsi="宋体" w:cs="Times New Roman"/>
          <w:sz w:val="28"/>
          <w:szCs w:val="28"/>
          <w:lang w:eastAsia="zh-CN"/>
        </w:rPr>
        <w:t>、</w:t>
      </w:r>
      <w:r>
        <w:rPr>
          <w:rFonts w:hint="eastAsia" w:ascii="Times New Roman" w:hAnsi="宋体" w:cs="Times New Roman"/>
          <w:sz w:val="28"/>
          <w:szCs w:val="28"/>
        </w:rPr>
        <w:t>时效指标、社会效益指标不够细化、量化</w:t>
      </w:r>
      <w:r>
        <w:rPr>
          <w:rFonts w:hint="eastAsia" w:ascii="Times New Roman" w:hAnsi="宋体" w:cs="Times New Roman"/>
          <w:sz w:val="28"/>
          <w:szCs w:val="28"/>
          <w:lang w:eastAsia="zh-CN"/>
        </w:rPr>
        <w:t>，</w:t>
      </w:r>
      <w:r>
        <w:rPr>
          <w:rFonts w:hint="eastAsia" w:ascii="Times New Roman" w:hAnsi="宋体" w:cs="Times New Roman"/>
          <w:sz w:val="28"/>
          <w:szCs w:val="28"/>
          <w:lang w:val="en-US" w:eastAsia="zh-CN"/>
        </w:rPr>
        <w:t>实际</w:t>
      </w:r>
      <w:r>
        <w:rPr>
          <w:rFonts w:hint="eastAsia" w:ascii="Times New Roman" w:hAnsi="宋体" w:cs="Times New Roman"/>
          <w:sz w:val="28"/>
          <w:szCs w:val="28"/>
        </w:rPr>
        <w:t>指标值难以抓取，不易量化考核；</w:t>
      </w:r>
      <w:r>
        <w:rPr>
          <w:rFonts w:hint="eastAsia" w:ascii="Times New Roman" w:hAnsi="宋体" w:cs="Times New Roman"/>
          <w:sz w:val="28"/>
          <w:szCs w:val="28"/>
          <w:lang w:val="en-US" w:eastAsia="zh-CN"/>
        </w:rPr>
        <w:t>生态效益指标设置为“居民出行安全率”、产出数量指标设置为“超限超载货运车辆超载率”欠妥，与指标的含义、考核方向不符。</w:t>
      </w:r>
    </w:p>
    <w:p>
      <w:pPr>
        <w:ind w:firstLine="560" w:firstLineChars="200"/>
        <w:rPr>
          <w:rFonts w:hint="eastAsia" w:ascii="Times New Roman" w:cs="Times New Roman"/>
          <w:sz w:val="28"/>
          <w:szCs w:val="28"/>
        </w:rPr>
      </w:pPr>
      <w:r>
        <w:rPr>
          <w:rFonts w:ascii="Times New Roman" w:cs="Times New Roman"/>
          <w:sz w:val="28"/>
          <w:szCs w:val="28"/>
        </w:rPr>
        <w:t>该项指标标准分值</w:t>
      </w:r>
      <w:r>
        <w:rPr>
          <w:rFonts w:hint="eastAsia" w:ascii="Times New Roman" w:hAnsi="Times New Roman" w:cs="Times New Roman"/>
          <w:sz w:val="28"/>
          <w:szCs w:val="28"/>
          <w:lang w:val="en-US" w:eastAsia="zh-CN"/>
        </w:rPr>
        <w:t>4</w:t>
      </w:r>
      <w:r>
        <w:rPr>
          <w:rFonts w:ascii="Times New Roman" w:cs="Times New Roman"/>
          <w:sz w:val="28"/>
          <w:szCs w:val="28"/>
        </w:rPr>
        <w:t>分，评价得</w:t>
      </w:r>
      <w:r>
        <w:rPr>
          <w:rFonts w:hint="eastAsia" w:ascii="Times New Roman" w:hAnsi="Times New Roman" w:cs="Times New Roman"/>
          <w:sz w:val="28"/>
          <w:szCs w:val="28"/>
          <w:lang w:val="en-US" w:eastAsia="zh-CN"/>
        </w:rPr>
        <w:t>2</w:t>
      </w:r>
      <w:r>
        <w:rPr>
          <w:rFonts w:ascii="Times New Roman" w:cs="Times New Roman"/>
          <w:sz w:val="28"/>
          <w:szCs w:val="28"/>
        </w:rPr>
        <w:t>分</w:t>
      </w:r>
      <w:r>
        <w:rPr>
          <w:rFonts w:hint="eastAsia" w:ascii="Times New Roman" w:cs="Times New Roman"/>
          <w:sz w:val="28"/>
          <w:szCs w:val="28"/>
        </w:rPr>
        <w:t>，</w:t>
      </w:r>
      <w:r>
        <w:rPr>
          <w:rFonts w:ascii="Times New Roman" w:cs="Times New Roman"/>
          <w:sz w:val="28"/>
          <w:szCs w:val="28"/>
        </w:rPr>
        <w:t>扣</w:t>
      </w:r>
      <w:r>
        <w:rPr>
          <w:rFonts w:hint="eastAsia" w:ascii="Times New Roman" w:cs="Times New Roman"/>
          <w:sz w:val="28"/>
          <w:szCs w:val="28"/>
          <w:lang w:val="en-US" w:eastAsia="zh-CN"/>
        </w:rPr>
        <w:t>2</w:t>
      </w:r>
      <w:r>
        <w:rPr>
          <w:rFonts w:hint="eastAsia" w:ascii="Times New Roman" w:cs="Times New Roman"/>
          <w:sz w:val="28"/>
          <w:szCs w:val="28"/>
        </w:rPr>
        <w:t>分。</w:t>
      </w:r>
    </w:p>
    <w:p>
      <w:pPr>
        <w:ind w:firstLine="560" w:firstLineChars="200"/>
        <w:rPr>
          <w:rFonts w:ascii="Times New Roman" w:hAnsi="Times New Roman"/>
          <w:sz w:val="28"/>
        </w:rPr>
      </w:pPr>
      <w:r>
        <w:rPr>
          <w:rFonts w:hint="eastAsia" w:ascii="Times New Roman" w:hAnsi="Times New Roman"/>
          <w:sz w:val="28"/>
        </w:rPr>
        <w:t>3、在职人员控制率：202</w:t>
      </w:r>
      <w:r>
        <w:rPr>
          <w:rFonts w:hint="eastAsia" w:ascii="Times New Roman" w:hAnsi="Times New Roman"/>
          <w:sz w:val="28"/>
          <w:lang w:val="en-US" w:eastAsia="zh-CN"/>
        </w:rPr>
        <w:t>2</w:t>
      </w:r>
      <w:r>
        <w:rPr>
          <w:rFonts w:hint="eastAsia" w:ascii="Times New Roman" w:hAnsi="Times New Roman"/>
          <w:sz w:val="28"/>
        </w:rPr>
        <w:t>年末核定编制</w:t>
      </w:r>
      <w:r>
        <w:rPr>
          <w:rFonts w:hint="eastAsia" w:ascii="Times New Roman" w:hAnsi="Times New Roman"/>
          <w:sz w:val="28"/>
          <w:lang w:val="en-US" w:eastAsia="zh-CN"/>
        </w:rPr>
        <w:t>28</w:t>
      </w:r>
      <w:r>
        <w:rPr>
          <w:rFonts w:hint="eastAsia" w:ascii="Times New Roman" w:hAnsi="Times New Roman"/>
          <w:sz w:val="28"/>
        </w:rPr>
        <w:t>人，实有在编人员</w:t>
      </w:r>
      <w:r>
        <w:rPr>
          <w:rFonts w:hint="eastAsia" w:ascii="Times New Roman" w:hAnsi="Times New Roman"/>
          <w:sz w:val="28"/>
          <w:lang w:val="en-US" w:eastAsia="zh-CN"/>
        </w:rPr>
        <w:t>6</w:t>
      </w:r>
      <w:r>
        <w:rPr>
          <w:rFonts w:hint="eastAsia" w:ascii="Times New Roman" w:hAnsi="Times New Roman"/>
          <w:sz w:val="28"/>
        </w:rPr>
        <w:t>人，控制率</w:t>
      </w:r>
      <w:r>
        <w:rPr>
          <w:rFonts w:hint="eastAsia" w:ascii="Times New Roman" w:hAnsi="Times New Roman"/>
          <w:sz w:val="28"/>
          <w:lang w:val="en-US" w:eastAsia="zh-CN"/>
        </w:rPr>
        <w:t>21.43</w:t>
      </w:r>
      <w:r>
        <w:rPr>
          <w:rFonts w:hint="eastAsia" w:ascii="Times New Roman" w:hAnsi="Times New Roman"/>
          <w:sz w:val="28"/>
        </w:rPr>
        <w:t>%，人员安排控制较好，</w:t>
      </w:r>
      <w:r>
        <w:rPr>
          <w:rFonts w:ascii="Times New Roman" w:cs="Times New Roman"/>
          <w:sz w:val="28"/>
          <w:szCs w:val="28"/>
        </w:rPr>
        <w:t>该项指标标准分值</w:t>
      </w:r>
      <w:r>
        <w:rPr>
          <w:rFonts w:hint="eastAsia" w:ascii="Times New Roman" w:hAnsi="Times New Roman" w:cs="Times New Roman"/>
          <w:sz w:val="28"/>
          <w:szCs w:val="28"/>
          <w:lang w:val="en-US" w:eastAsia="zh-CN"/>
        </w:rPr>
        <w:t>3</w:t>
      </w:r>
      <w:r>
        <w:rPr>
          <w:rFonts w:ascii="Times New Roman" w:cs="Times New Roman"/>
          <w:sz w:val="28"/>
          <w:szCs w:val="28"/>
        </w:rPr>
        <w:t>分</w:t>
      </w:r>
      <w:r>
        <w:rPr>
          <w:rFonts w:hint="eastAsia" w:ascii="Times New Roman" w:cs="Times New Roman"/>
          <w:sz w:val="28"/>
          <w:szCs w:val="28"/>
          <w:lang w:eastAsia="zh-CN"/>
        </w:rPr>
        <w:t>，</w:t>
      </w:r>
      <w:r>
        <w:rPr>
          <w:rFonts w:hint="eastAsia" w:ascii="Times New Roman" w:cs="Times New Roman"/>
          <w:sz w:val="28"/>
          <w:szCs w:val="28"/>
          <w:lang w:val="en-US" w:eastAsia="zh-CN"/>
        </w:rPr>
        <w:t>评价</w:t>
      </w:r>
      <w:r>
        <w:rPr>
          <w:rFonts w:hint="eastAsia" w:ascii="Times New Roman" w:hAnsi="Times New Roman"/>
          <w:sz w:val="28"/>
        </w:rPr>
        <w:t>得3分。</w:t>
      </w:r>
    </w:p>
    <w:p>
      <w:pPr>
        <w:ind w:firstLine="560" w:firstLineChars="200"/>
        <w:rPr>
          <w:rFonts w:ascii="Times New Roman" w:hAnsi="Times New Roman"/>
          <w:sz w:val="28"/>
        </w:rPr>
      </w:pPr>
      <w:r>
        <w:rPr>
          <w:rFonts w:hint="eastAsia" w:ascii="Times New Roman" w:hAnsi="Times New Roman"/>
          <w:sz w:val="28"/>
        </w:rPr>
        <w:t>4、预算编制准确性：根据上年度的实际收支情况，结合本年度的工作安排，科学合理编制本单位预算；预算支出明细项目均与本单位履职活动紧密相关，数据详实，结构清晰，预算说明详尽。预算编制较为规范，</w:t>
      </w:r>
      <w:r>
        <w:rPr>
          <w:rFonts w:ascii="Times New Roman" w:cs="Times New Roman"/>
          <w:sz w:val="28"/>
          <w:szCs w:val="28"/>
        </w:rPr>
        <w:t>该项指标标准分值</w:t>
      </w:r>
      <w:r>
        <w:rPr>
          <w:rFonts w:hint="eastAsia" w:ascii="Times New Roman" w:hAnsi="Times New Roman" w:cs="Times New Roman"/>
          <w:sz w:val="28"/>
          <w:szCs w:val="28"/>
          <w:lang w:val="en-US" w:eastAsia="zh-CN"/>
        </w:rPr>
        <w:t>2</w:t>
      </w:r>
      <w:r>
        <w:rPr>
          <w:rFonts w:ascii="Times New Roman" w:cs="Times New Roman"/>
          <w:sz w:val="28"/>
          <w:szCs w:val="28"/>
        </w:rPr>
        <w:t>分</w:t>
      </w:r>
      <w:r>
        <w:rPr>
          <w:rFonts w:hint="eastAsia" w:ascii="Times New Roman" w:cs="Times New Roman"/>
          <w:sz w:val="28"/>
          <w:szCs w:val="28"/>
          <w:lang w:eastAsia="zh-CN"/>
        </w:rPr>
        <w:t>，</w:t>
      </w:r>
      <w:r>
        <w:rPr>
          <w:rFonts w:hint="eastAsia" w:ascii="Times New Roman" w:cs="Times New Roman"/>
          <w:sz w:val="28"/>
          <w:szCs w:val="28"/>
          <w:lang w:val="en-US" w:eastAsia="zh-CN"/>
        </w:rPr>
        <w:t>评价</w:t>
      </w:r>
      <w:r>
        <w:rPr>
          <w:rFonts w:hint="eastAsia" w:ascii="Times New Roman" w:hAnsi="Times New Roman"/>
          <w:sz w:val="28"/>
        </w:rPr>
        <w:t>得2分。</w:t>
      </w:r>
    </w:p>
    <w:p>
      <w:pPr>
        <w:ind w:firstLine="560" w:firstLineChars="200"/>
        <w:rPr>
          <w:rFonts w:ascii="Times New Roman" w:hAnsi="Times New Roman"/>
          <w:sz w:val="28"/>
        </w:rPr>
      </w:pPr>
      <w:r>
        <w:rPr>
          <w:rFonts w:hint="eastAsia" w:ascii="Times New Roman" w:hAnsi="Times New Roman"/>
          <w:sz w:val="28"/>
        </w:rPr>
        <w:t>5、“三公经费”变动率： 202</w:t>
      </w:r>
      <w:r>
        <w:rPr>
          <w:rFonts w:hint="eastAsia" w:ascii="Times New Roman" w:hAnsi="Times New Roman"/>
          <w:sz w:val="28"/>
          <w:lang w:val="en-US" w:eastAsia="zh-CN"/>
        </w:rPr>
        <w:t>2</w:t>
      </w:r>
      <w:r>
        <w:rPr>
          <w:rFonts w:hint="eastAsia" w:ascii="Times New Roman" w:hAnsi="Times New Roman"/>
          <w:sz w:val="28"/>
        </w:rPr>
        <w:t>年“三公经费”批复预算数为</w:t>
      </w:r>
      <w:r>
        <w:rPr>
          <w:rFonts w:hint="eastAsia" w:ascii="Times New Roman" w:hAnsi="Times New Roman"/>
          <w:sz w:val="28"/>
          <w:lang w:val="en-US" w:eastAsia="zh-CN"/>
        </w:rPr>
        <w:t>2</w:t>
      </w:r>
      <w:r>
        <w:rPr>
          <w:rFonts w:hint="eastAsia" w:ascii="Times New Roman" w:hAnsi="Times New Roman"/>
          <w:sz w:val="28"/>
        </w:rPr>
        <w:t>万元，</w:t>
      </w:r>
      <w:r>
        <w:rPr>
          <w:rFonts w:hint="eastAsia" w:ascii="Times New Roman" w:hAnsi="Times New Roman"/>
          <w:sz w:val="28"/>
          <w:lang w:val="en-US" w:eastAsia="zh-CN"/>
        </w:rPr>
        <w:t>较2021年</w:t>
      </w:r>
      <w:r>
        <w:rPr>
          <w:rFonts w:hint="eastAsia" w:ascii="Times New Roman" w:hAnsi="Times New Roman"/>
          <w:sz w:val="28"/>
        </w:rPr>
        <w:t>“三公经费”批复预算数</w:t>
      </w:r>
      <w:r>
        <w:rPr>
          <w:rFonts w:hint="eastAsia" w:ascii="Times New Roman" w:hAnsi="Times New Roman"/>
          <w:sz w:val="28"/>
          <w:lang w:val="en-US" w:eastAsia="zh-CN"/>
        </w:rPr>
        <w:t>减少2万元</w:t>
      </w:r>
      <w:r>
        <w:rPr>
          <w:rFonts w:hint="eastAsia" w:ascii="Times New Roman" w:hAnsi="Times New Roman"/>
          <w:sz w:val="28"/>
        </w:rPr>
        <w:t>，</w:t>
      </w:r>
      <w:r>
        <w:rPr>
          <w:rFonts w:hint="eastAsia" w:ascii="Times New Roman" w:hAnsi="Times New Roman"/>
          <w:sz w:val="28"/>
          <w:lang w:val="en-US" w:eastAsia="zh-CN"/>
        </w:rPr>
        <w:t>实际支出2775元，显著低于预算数，</w:t>
      </w:r>
      <w:r>
        <w:rPr>
          <w:rFonts w:ascii="Times New Roman" w:cs="Times New Roman"/>
          <w:sz w:val="28"/>
          <w:szCs w:val="28"/>
        </w:rPr>
        <w:t>该项指标标准分值</w:t>
      </w:r>
      <w:r>
        <w:rPr>
          <w:rFonts w:hint="eastAsia" w:ascii="Times New Roman" w:hAnsi="Times New Roman" w:cs="Times New Roman"/>
          <w:sz w:val="28"/>
          <w:szCs w:val="28"/>
          <w:lang w:val="en-US" w:eastAsia="zh-CN"/>
        </w:rPr>
        <w:t>3</w:t>
      </w:r>
      <w:r>
        <w:rPr>
          <w:rFonts w:ascii="Times New Roman" w:cs="Times New Roman"/>
          <w:sz w:val="28"/>
          <w:szCs w:val="28"/>
        </w:rPr>
        <w:t>分</w:t>
      </w:r>
      <w:r>
        <w:rPr>
          <w:rFonts w:hint="eastAsia" w:ascii="Times New Roman" w:cs="Times New Roman"/>
          <w:sz w:val="28"/>
          <w:szCs w:val="28"/>
          <w:lang w:eastAsia="zh-CN"/>
        </w:rPr>
        <w:t>，</w:t>
      </w:r>
      <w:r>
        <w:rPr>
          <w:rFonts w:hint="eastAsia" w:ascii="Times New Roman" w:cs="Times New Roman"/>
          <w:sz w:val="28"/>
          <w:szCs w:val="28"/>
          <w:lang w:val="en-US" w:eastAsia="zh-CN"/>
        </w:rPr>
        <w:t>评价</w:t>
      </w:r>
      <w:r>
        <w:rPr>
          <w:rFonts w:hint="eastAsia" w:ascii="Times New Roman" w:hAnsi="Times New Roman"/>
          <w:sz w:val="28"/>
        </w:rPr>
        <w:t>得3分。</w:t>
      </w:r>
    </w:p>
    <w:p>
      <w:pPr>
        <w:ind w:firstLine="560" w:firstLineChars="200"/>
        <w:rPr>
          <w:rFonts w:ascii="Times New Roman" w:hAnsi="Times New Roman"/>
          <w:sz w:val="28"/>
        </w:rPr>
      </w:pPr>
      <w:r>
        <w:rPr>
          <w:rFonts w:hint="eastAsia" w:ascii="Times New Roman" w:hAnsi="Times New Roman"/>
          <w:sz w:val="28"/>
        </w:rPr>
        <w:t>6、重点支出安排率：202</w:t>
      </w:r>
      <w:r>
        <w:rPr>
          <w:rFonts w:hint="eastAsia" w:ascii="Times New Roman" w:hAnsi="Times New Roman"/>
          <w:sz w:val="28"/>
          <w:lang w:val="en-US" w:eastAsia="zh-CN"/>
        </w:rPr>
        <w:t>2</w:t>
      </w:r>
      <w:r>
        <w:rPr>
          <w:rFonts w:hint="eastAsia" w:ascii="Times New Roman" w:hAnsi="Times New Roman"/>
          <w:sz w:val="28"/>
        </w:rPr>
        <w:t>年</w:t>
      </w:r>
      <w:r>
        <w:rPr>
          <w:rFonts w:hint="eastAsia" w:ascii="Times New Roman" w:hAnsi="Times New Roman"/>
          <w:sz w:val="28"/>
          <w:lang w:val="en-US" w:eastAsia="zh-CN"/>
        </w:rPr>
        <w:t>重点</w:t>
      </w:r>
      <w:r>
        <w:rPr>
          <w:rFonts w:hint="eastAsia" w:ascii="Times New Roman" w:hAnsi="Times New Roman"/>
          <w:sz w:val="28"/>
        </w:rPr>
        <w:t>安排的物流与治超信息平台运维及治超工作经费项目，与本部门履职和发展密切相关、具有明显社会和经济影响，依据指标说明属重点项目，该项目安排预算资金</w:t>
      </w:r>
      <w:r>
        <w:rPr>
          <w:rFonts w:hint="eastAsia" w:ascii="Times New Roman" w:hAnsi="Times New Roman"/>
          <w:sz w:val="28"/>
          <w:lang w:val="en-US" w:eastAsia="zh-CN"/>
        </w:rPr>
        <w:t>79</w:t>
      </w:r>
      <w:r>
        <w:rPr>
          <w:rFonts w:hint="eastAsia" w:ascii="Times New Roman" w:hAnsi="Times New Roman"/>
          <w:sz w:val="28"/>
        </w:rPr>
        <w:t>万元，项目总预算资金84万元，重点支出安排率</w:t>
      </w:r>
      <w:r>
        <w:rPr>
          <w:rFonts w:hint="eastAsia" w:ascii="Times New Roman" w:hAnsi="Times New Roman"/>
          <w:sz w:val="28"/>
          <w:lang w:val="en-US" w:eastAsia="zh-CN"/>
        </w:rPr>
        <w:t>94.05</w:t>
      </w:r>
      <w:r>
        <w:rPr>
          <w:rFonts w:hint="eastAsia" w:ascii="Times New Roman" w:hAnsi="Times New Roman"/>
          <w:sz w:val="28"/>
        </w:rPr>
        <w:t>%，</w:t>
      </w:r>
      <w:r>
        <w:rPr>
          <w:rFonts w:ascii="Times New Roman" w:cs="Times New Roman"/>
          <w:sz w:val="28"/>
          <w:szCs w:val="28"/>
        </w:rPr>
        <w:t>该项指标标准分值</w:t>
      </w:r>
      <w:r>
        <w:rPr>
          <w:rFonts w:hint="eastAsia" w:ascii="Times New Roman" w:hAnsi="Times New Roman" w:cs="Times New Roman"/>
          <w:sz w:val="28"/>
          <w:szCs w:val="28"/>
          <w:lang w:val="en-US" w:eastAsia="zh-CN"/>
        </w:rPr>
        <w:t>2</w:t>
      </w:r>
      <w:r>
        <w:rPr>
          <w:rFonts w:ascii="Times New Roman" w:cs="Times New Roman"/>
          <w:sz w:val="28"/>
          <w:szCs w:val="28"/>
        </w:rPr>
        <w:t>分</w:t>
      </w:r>
      <w:r>
        <w:rPr>
          <w:rFonts w:hint="eastAsia" w:ascii="Times New Roman" w:cs="Times New Roman"/>
          <w:sz w:val="28"/>
          <w:szCs w:val="28"/>
          <w:lang w:eastAsia="zh-CN"/>
        </w:rPr>
        <w:t>，</w:t>
      </w:r>
      <w:r>
        <w:rPr>
          <w:rFonts w:hint="eastAsia" w:ascii="Times New Roman" w:cs="Times New Roman"/>
          <w:sz w:val="28"/>
          <w:szCs w:val="28"/>
          <w:lang w:val="en-US" w:eastAsia="zh-CN"/>
        </w:rPr>
        <w:t>评价</w:t>
      </w:r>
      <w:r>
        <w:rPr>
          <w:rFonts w:hint="eastAsia" w:ascii="Times New Roman" w:hAnsi="Times New Roman"/>
          <w:sz w:val="28"/>
        </w:rPr>
        <w:t>得2分。</w:t>
      </w:r>
    </w:p>
    <w:p>
      <w:pPr>
        <w:ind w:firstLine="560" w:firstLineChars="200"/>
        <w:rPr>
          <w:rFonts w:ascii="Times New Roman" w:hAnsi="Times New Roman"/>
          <w:sz w:val="28"/>
        </w:rPr>
      </w:pPr>
      <w:r>
        <w:rPr>
          <w:rFonts w:hint="eastAsia" w:ascii="Times New Roman" w:hAnsi="Times New Roman"/>
          <w:sz w:val="28"/>
        </w:rPr>
        <w:t>7、预算完成率：202</w:t>
      </w:r>
      <w:r>
        <w:rPr>
          <w:rFonts w:hint="eastAsia" w:ascii="Times New Roman" w:hAnsi="Times New Roman"/>
          <w:sz w:val="28"/>
          <w:lang w:val="en-US" w:eastAsia="zh-CN"/>
        </w:rPr>
        <w:t>2</w:t>
      </w:r>
      <w:r>
        <w:rPr>
          <w:rFonts w:hint="eastAsia" w:ascii="Times New Roman" w:hAnsi="Times New Roman"/>
          <w:sz w:val="28"/>
        </w:rPr>
        <w:t>年</w:t>
      </w:r>
      <w:r>
        <w:rPr>
          <w:rFonts w:hint="eastAsia" w:ascii="Times New Roman" w:hAnsi="Times New Roman"/>
          <w:sz w:val="28"/>
          <w:lang w:val="en-US" w:eastAsia="zh-CN"/>
        </w:rPr>
        <w:t>年初</w:t>
      </w:r>
      <w:r>
        <w:rPr>
          <w:rFonts w:hint="eastAsia" w:ascii="Times New Roman" w:hAnsi="Times New Roman"/>
          <w:sz w:val="28"/>
        </w:rPr>
        <w:t>预算数</w:t>
      </w:r>
      <w:r>
        <w:rPr>
          <w:rFonts w:hint="eastAsia" w:ascii="Times New Roman" w:hAnsi="Times New Roman"/>
          <w:sz w:val="28"/>
          <w:lang w:val="en-US" w:eastAsia="zh-CN"/>
        </w:rPr>
        <w:t>132.3</w:t>
      </w:r>
      <w:r>
        <w:rPr>
          <w:rFonts w:hint="eastAsia" w:ascii="Times New Roman" w:hAnsi="Times New Roman"/>
          <w:sz w:val="28"/>
        </w:rPr>
        <w:t>万元，实际完成预算数</w:t>
      </w:r>
      <w:r>
        <w:rPr>
          <w:rFonts w:hint="eastAsia" w:ascii="Times New Roman" w:hAnsi="Times New Roman"/>
          <w:sz w:val="28"/>
          <w:lang w:val="en-US" w:eastAsia="zh-CN"/>
        </w:rPr>
        <w:t>131.64</w:t>
      </w:r>
      <w:r>
        <w:rPr>
          <w:rFonts w:hint="eastAsia" w:ascii="Times New Roman" w:hAnsi="Times New Roman"/>
          <w:sz w:val="28"/>
        </w:rPr>
        <w:t>万元，完成率99.</w:t>
      </w:r>
      <w:r>
        <w:rPr>
          <w:rFonts w:hint="eastAsia" w:ascii="Times New Roman" w:hAnsi="Times New Roman"/>
          <w:sz w:val="28"/>
          <w:lang w:val="en-US" w:eastAsia="zh-CN"/>
        </w:rPr>
        <w:t>5</w:t>
      </w:r>
      <w:r>
        <w:rPr>
          <w:rFonts w:hint="eastAsia" w:ascii="Times New Roman" w:hAnsi="Times New Roman"/>
          <w:sz w:val="28"/>
        </w:rPr>
        <w:t>%，依评分标准，得2分，扣1分。</w:t>
      </w:r>
    </w:p>
    <w:p>
      <w:pPr>
        <w:ind w:firstLine="560" w:firstLineChars="200"/>
        <w:rPr>
          <w:rFonts w:ascii="Times New Roman" w:hAnsi="Times New Roman"/>
          <w:sz w:val="28"/>
        </w:rPr>
      </w:pPr>
      <w:r>
        <w:rPr>
          <w:rFonts w:hint="eastAsia" w:ascii="Times New Roman" w:hAnsi="Times New Roman"/>
          <w:sz w:val="28"/>
        </w:rPr>
        <w:t>8、预算调整率：202</w:t>
      </w:r>
      <w:r>
        <w:rPr>
          <w:rFonts w:hint="eastAsia" w:ascii="Times New Roman" w:hAnsi="Times New Roman"/>
          <w:sz w:val="28"/>
          <w:lang w:val="en-US" w:eastAsia="zh-CN"/>
        </w:rPr>
        <w:t>2</w:t>
      </w:r>
      <w:r>
        <w:rPr>
          <w:rFonts w:hint="eastAsia" w:ascii="Times New Roman" w:hAnsi="Times New Roman"/>
          <w:sz w:val="28"/>
        </w:rPr>
        <w:t>年未进行预算调整，预算调整率为0，本项得2分。</w:t>
      </w:r>
    </w:p>
    <w:p>
      <w:pPr>
        <w:ind w:firstLine="560" w:firstLineChars="200"/>
        <w:rPr>
          <w:rFonts w:ascii="Times New Roman" w:hAnsi="Times New Roman"/>
          <w:sz w:val="28"/>
        </w:rPr>
      </w:pPr>
      <w:r>
        <w:rPr>
          <w:rFonts w:hint="eastAsia" w:ascii="Times New Roman" w:hAnsi="Times New Roman"/>
          <w:sz w:val="28"/>
        </w:rPr>
        <w:t>9、资金拨付及时性：及时足额拨付、使用资金，满足项目运转所需的运维费用和</w:t>
      </w:r>
      <w:r>
        <w:rPr>
          <w:rFonts w:hint="eastAsia" w:ascii="Times New Roman" w:hAnsi="Times New Roman"/>
          <w:sz w:val="28"/>
          <w:lang w:val="en-US" w:eastAsia="zh-CN"/>
        </w:rPr>
        <w:t>履职所需的</w:t>
      </w:r>
      <w:r>
        <w:rPr>
          <w:rFonts w:hint="eastAsia" w:ascii="Times New Roman" w:hAnsi="Times New Roman"/>
          <w:sz w:val="28"/>
        </w:rPr>
        <w:t>经费开支，得3分。</w:t>
      </w:r>
    </w:p>
    <w:p>
      <w:pPr>
        <w:ind w:firstLine="560" w:firstLineChars="200"/>
        <w:rPr>
          <w:rFonts w:ascii="Times New Roman" w:hAnsi="Times New Roman"/>
          <w:sz w:val="28"/>
        </w:rPr>
      </w:pPr>
      <w:r>
        <w:rPr>
          <w:rFonts w:hint="eastAsia" w:ascii="Times New Roman" w:hAnsi="Times New Roman"/>
          <w:sz w:val="28"/>
        </w:rPr>
        <w:t>10、结转结余率：本年结余0.</w:t>
      </w:r>
      <w:r>
        <w:rPr>
          <w:rFonts w:hint="eastAsia" w:ascii="Times New Roman" w:hAnsi="Times New Roman"/>
          <w:sz w:val="28"/>
          <w:lang w:val="en-US" w:eastAsia="zh-CN"/>
        </w:rPr>
        <w:t>66</w:t>
      </w:r>
      <w:r>
        <w:rPr>
          <w:rFonts w:hint="eastAsia" w:ascii="Times New Roman" w:hAnsi="Times New Roman"/>
          <w:sz w:val="28"/>
        </w:rPr>
        <w:t>万元，结转结余率0.</w:t>
      </w:r>
      <w:r>
        <w:rPr>
          <w:rFonts w:hint="eastAsia" w:ascii="Times New Roman" w:hAnsi="Times New Roman"/>
          <w:sz w:val="28"/>
          <w:lang w:val="en-US" w:eastAsia="zh-CN"/>
        </w:rPr>
        <w:t>50</w:t>
      </w:r>
      <w:r>
        <w:rPr>
          <w:rFonts w:hint="eastAsia" w:ascii="Times New Roman" w:hAnsi="Times New Roman"/>
          <w:sz w:val="28"/>
        </w:rPr>
        <w:t>%，依据评分标准，得1分。</w:t>
      </w:r>
    </w:p>
    <w:p>
      <w:pPr>
        <w:ind w:firstLine="560" w:firstLineChars="200"/>
        <w:rPr>
          <w:rFonts w:ascii="Times New Roman" w:hAnsi="Times New Roman"/>
          <w:sz w:val="28"/>
        </w:rPr>
      </w:pPr>
      <w:r>
        <w:rPr>
          <w:rFonts w:hint="eastAsia" w:ascii="Times New Roman" w:hAnsi="Times New Roman"/>
          <w:sz w:val="28"/>
        </w:rPr>
        <w:t>11、公用经费控制率：</w:t>
      </w:r>
      <w:r>
        <w:rPr>
          <w:rFonts w:hint="eastAsia" w:ascii="Times New Roman" w:hAnsi="Times New Roman"/>
          <w:sz w:val="28"/>
          <w:lang w:val="en-US" w:eastAsia="zh-CN"/>
        </w:rPr>
        <w:t>2022</w:t>
      </w:r>
      <w:r>
        <w:rPr>
          <w:rFonts w:hint="eastAsia" w:ascii="Times New Roman" w:hAnsi="Times New Roman"/>
          <w:sz w:val="28"/>
        </w:rPr>
        <w:t>年</w:t>
      </w:r>
      <w:r>
        <w:rPr>
          <w:rFonts w:hint="eastAsia" w:ascii="Times New Roman" w:hAnsi="Times New Roman"/>
          <w:sz w:val="28"/>
          <w:lang w:val="en-US" w:eastAsia="zh-CN"/>
        </w:rPr>
        <w:t>度</w:t>
      </w:r>
      <w:r>
        <w:rPr>
          <w:rFonts w:hint="eastAsia" w:ascii="Times New Roman" w:hAnsi="Times New Roman"/>
          <w:sz w:val="28"/>
        </w:rPr>
        <w:t>公用经费预算数</w:t>
      </w:r>
      <w:r>
        <w:rPr>
          <w:rFonts w:hint="eastAsia" w:ascii="Times New Roman" w:hAnsi="Times New Roman"/>
          <w:sz w:val="28"/>
          <w:lang w:val="en-US" w:eastAsia="zh-CN"/>
        </w:rPr>
        <w:t>2.41</w:t>
      </w:r>
      <w:r>
        <w:rPr>
          <w:rFonts w:ascii="Times New Roman" w:hAnsi="Times New Roman"/>
          <w:sz w:val="28"/>
        </w:rPr>
        <w:t>万元</w:t>
      </w:r>
      <w:r>
        <w:rPr>
          <w:rFonts w:hint="eastAsia" w:ascii="Times New Roman" w:hAnsi="Times New Roman"/>
          <w:sz w:val="28"/>
        </w:rPr>
        <w:t>，</w:t>
      </w:r>
      <w:r>
        <w:rPr>
          <w:rFonts w:ascii="Times New Roman" w:hAnsi="Times New Roman"/>
          <w:sz w:val="28"/>
        </w:rPr>
        <w:t>实际支出数</w:t>
      </w:r>
      <w:r>
        <w:rPr>
          <w:rFonts w:hint="eastAsia" w:ascii="Times New Roman" w:hAnsi="Times New Roman"/>
          <w:sz w:val="28"/>
          <w:lang w:val="en-US" w:eastAsia="zh-CN"/>
        </w:rPr>
        <w:t>2.39</w:t>
      </w:r>
      <w:r>
        <w:rPr>
          <w:rFonts w:hint="eastAsia" w:ascii="Times New Roman" w:hAnsi="Times New Roman"/>
          <w:sz w:val="28"/>
        </w:rPr>
        <w:t>万元，公用经费控制率9</w:t>
      </w:r>
      <w:r>
        <w:rPr>
          <w:rFonts w:hint="eastAsia" w:ascii="Times New Roman" w:hAnsi="Times New Roman"/>
          <w:sz w:val="28"/>
          <w:lang w:val="en-US" w:eastAsia="zh-CN"/>
        </w:rPr>
        <w:t>9.17</w:t>
      </w:r>
      <w:r>
        <w:rPr>
          <w:rFonts w:hint="eastAsia" w:ascii="Times New Roman" w:hAnsi="Times New Roman"/>
          <w:sz w:val="28"/>
        </w:rPr>
        <w:t>%，得2分。</w:t>
      </w:r>
    </w:p>
    <w:p>
      <w:pPr>
        <w:ind w:firstLine="560" w:firstLineChars="200"/>
        <w:rPr>
          <w:rFonts w:ascii="Times New Roman" w:hAnsi="Times New Roman"/>
          <w:sz w:val="28"/>
        </w:rPr>
      </w:pPr>
      <w:r>
        <w:rPr>
          <w:rFonts w:hint="eastAsia" w:ascii="Times New Roman" w:hAnsi="Times New Roman"/>
          <w:sz w:val="28"/>
        </w:rPr>
        <w:t>12、“三公经费”控制率：202</w:t>
      </w:r>
      <w:r>
        <w:rPr>
          <w:rFonts w:hint="eastAsia" w:ascii="Times New Roman" w:hAnsi="Times New Roman"/>
          <w:sz w:val="28"/>
          <w:lang w:val="en-US" w:eastAsia="zh-CN"/>
        </w:rPr>
        <w:t>2</w:t>
      </w:r>
      <w:r>
        <w:rPr>
          <w:rFonts w:hint="eastAsia" w:ascii="Times New Roman" w:hAnsi="Times New Roman"/>
          <w:sz w:val="28"/>
        </w:rPr>
        <w:t>年预算“三公经费”批复预算数为</w:t>
      </w:r>
      <w:r>
        <w:rPr>
          <w:rFonts w:hint="eastAsia" w:ascii="Times New Roman" w:hAnsi="Times New Roman"/>
          <w:sz w:val="28"/>
          <w:lang w:val="en-US" w:eastAsia="zh-CN"/>
        </w:rPr>
        <w:t>2</w:t>
      </w:r>
      <w:r>
        <w:rPr>
          <w:rFonts w:hint="eastAsia" w:ascii="Times New Roman" w:hAnsi="Times New Roman"/>
          <w:sz w:val="28"/>
        </w:rPr>
        <w:t>万元，实际支出数0.</w:t>
      </w:r>
      <w:r>
        <w:rPr>
          <w:rFonts w:hint="eastAsia" w:ascii="Times New Roman" w:hAnsi="Times New Roman"/>
          <w:sz w:val="28"/>
          <w:lang w:val="en-US" w:eastAsia="zh-CN"/>
        </w:rPr>
        <w:t>28</w:t>
      </w:r>
      <w:r>
        <w:rPr>
          <w:rFonts w:hint="eastAsia" w:ascii="Times New Roman" w:hAnsi="Times New Roman"/>
          <w:sz w:val="28"/>
        </w:rPr>
        <w:t>万元，控制率1</w:t>
      </w:r>
      <w:r>
        <w:rPr>
          <w:rFonts w:hint="eastAsia" w:ascii="Times New Roman" w:hAnsi="Times New Roman"/>
          <w:sz w:val="28"/>
          <w:lang w:val="en-US" w:eastAsia="zh-CN"/>
        </w:rPr>
        <w:t>4</w:t>
      </w:r>
      <w:r>
        <w:rPr>
          <w:rFonts w:hint="eastAsia" w:ascii="Times New Roman" w:hAnsi="Times New Roman"/>
          <w:sz w:val="28"/>
        </w:rPr>
        <w:t>%，得2分。</w:t>
      </w:r>
    </w:p>
    <w:p>
      <w:pPr>
        <w:ind w:firstLine="560" w:firstLineChars="200"/>
        <w:rPr>
          <w:rFonts w:ascii="Times New Roman" w:hAnsi="Times New Roman"/>
          <w:sz w:val="28"/>
        </w:rPr>
      </w:pPr>
      <w:r>
        <w:rPr>
          <w:rFonts w:hint="eastAsia" w:ascii="Times New Roman" w:hAnsi="Times New Roman"/>
          <w:sz w:val="28"/>
        </w:rPr>
        <w:t>13、政府采购执行率：202</w:t>
      </w:r>
      <w:r>
        <w:rPr>
          <w:rFonts w:hint="eastAsia" w:ascii="Times New Roman" w:hAnsi="Times New Roman"/>
          <w:sz w:val="28"/>
          <w:lang w:val="en-US" w:eastAsia="zh-CN"/>
        </w:rPr>
        <w:t>2</w:t>
      </w:r>
      <w:r>
        <w:rPr>
          <w:rFonts w:hint="eastAsia" w:ascii="Times New Roman" w:hAnsi="Times New Roman"/>
          <w:sz w:val="28"/>
        </w:rPr>
        <w:t>年度无政府采购预算，实际也未发生政府采购，本项指标得2分。</w:t>
      </w:r>
    </w:p>
    <w:p>
      <w:pPr>
        <w:ind w:firstLine="560" w:firstLineChars="200"/>
        <w:rPr>
          <w:rFonts w:ascii="Times New Roman" w:hAnsi="Times New Roman"/>
          <w:sz w:val="28"/>
        </w:rPr>
      </w:pPr>
      <w:r>
        <w:rPr>
          <w:rFonts w:hint="eastAsia" w:ascii="Times New Roman" w:hAnsi="Times New Roman"/>
          <w:sz w:val="28"/>
        </w:rPr>
        <w:t>14、预算管理制度健全性：制定了较为完整的财务管理制度、资金管理办法、经费支出管理办法，岗位责任制等制度的设计符合本单位的管理需求，符合《预算法》、《政府会计制度》和行政事业单位财务规则的规定，得2分。</w:t>
      </w:r>
    </w:p>
    <w:p>
      <w:pPr>
        <w:ind w:firstLine="560" w:firstLineChars="200"/>
        <w:rPr>
          <w:rFonts w:ascii="Times New Roman" w:hAnsi="Times New Roman"/>
          <w:sz w:val="28"/>
        </w:rPr>
      </w:pPr>
      <w:r>
        <w:rPr>
          <w:rFonts w:hint="eastAsia" w:ascii="Times New Roman" w:hAnsi="Times New Roman"/>
          <w:sz w:val="28"/>
        </w:rPr>
        <w:t>15、资金使用合规性：抽查会计凭证，资金支用符合财务制度的要求，能够严格控制各项支出，各项费用的开支范围和标准遵循了宿州市有关支出管理办法，审批程序合规、重大支出履行集体审批，报账手续完整、单据规范，资金用途合理，无挪用、截留等违规行为，得4分。</w:t>
      </w:r>
    </w:p>
    <w:p>
      <w:pPr>
        <w:ind w:firstLine="560" w:firstLineChars="200"/>
        <w:rPr>
          <w:rFonts w:ascii="Times New Roman" w:hAnsi="Times New Roman"/>
          <w:sz w:val="28"/>
        </w:rPr>
      </w:pPr>
      <w:r>
        <w:rPr>
          <w:rFonts w:hint="eastAsia" w:ascii="Times New Roman" w:hAnsi="Times New Roman"/>
          <w:sz w:val="28"/>
        </w:rPr>
        <w:t>16、预决算信息公开性：通过市交通局网站公布预算编制说明、预算表格，编制规范，内容完整，说明详尽，得1分。</w:t>
      </w:r>
    </w:p>
    <w:p>
      <w:pPr>
        <w:ind w:firstLine="560" w:firstLineChars="200"/>
        <w:rPr>
          <w:rFonts w:ascii="Times New Roman" w:hAnsi="Times New Roman"/>
          <w:sz w:val="28"/>
        </w:rPr>
      </w:pPr>
      <w:r>
        <w:rPr>
          <w:rFonts w:hint="eastAsia" w:ascii="Times New Roman" w:hAnsi="Times New Roman"/>
          <w:sz w:val="28"/>
        </w:rPr>
        <w:t>17、基础信息完善性：经核对、分析，宿州市治超处基础数据信息和会计信息资料真实、完整、准确。得2分。</w:t>
      </w:r>
    </w:p>
    <w:p>
      <w:pPr>
        <w:ind w:firstLine="560" w:firstLineChars="200"/>
        <w:rPr>
          <w:rFonts w:ascii="Times New Roman" w:hAnsi="Times New Roman"/>
          <w:sz w:val="28"/>
        </w:rPr>
      </w:pPr>
      <w:r>
        <w:rPr>
          <w:rFonts w:hint="eastAsia" w:ascii="Times New Roman" w:hAnsi="Times New Roman"/>
          <w:sz w:val="28"/>
        </w:rPr>
        <w:t>18、资产管理制度健全性：宿州市治超处制定了财务管理制度（宿治超【2019】6号），对固定资产管理进行专项规定，明确了资产管理的具体内容和程序，涵盖了资产的购置、使用、保管、处置各环节及流程，得2分。</w:t>
      </w:r>
    </w:p>
    <w:p>
      <w:pPr>
        <w:ind w:firstLine="560" w:firstLineChars="200"/>
        <w:rPr>
          <w:rFonts w:ascii="Times New Roman" w:hAnsi="Times New Roman"/>
          <w:sz w:val="28"/>
        </w:rPr>
      </w:pPr>
      <w:r>
        <w:rPr>
          <w:rFonts w:hint="eastAsia" w:ascii="Times New Roman" w:hAnsi="Times New Roman"/>
          <w:sz w:val="28"/>
        </w:rPr>
        <w:t>19、资产管理安全性：资产配置合理，</w:t>
      </w:r>
      <w:r>
        <w:rPr>
          <w:rFonts w:hint="eastAsia" w:ascii="Times New Roman" w:hAnsi="Times New Roman"/>
          <w:sz w:val="28"/>
          <w:lang w:val="en-US" w:eastAsia="zh-CN"/>
        </w:rPr>
        <w:t>基本能够满足</w:t>
      </w:r>
      <w:r>
        <w:rPr>
          <w:rFonts w:hint="eastAsia" w:ascii="Times New Roman" w:hAnsi="Times New Roman"/>
          <w:sz w:val="28"/>
        </w:rPr>
        <w:t>治超处的管理、服务</w:t>
      </w:r>
      <w:r>
        <w:rPr>
          <w:rFonts w:hint="eastAsia" w:ascii="Times New Roman" w:hAnsi="Times New Roman"/>
          <w:sz w:val="28"/>
          <w:lang w:val="en-US" w:eastAsia="zh-CN"/>
        </w:rPr>
        <w:t>需要</w:t>
      </w:r>
      <w:r>
        <w:rPr>
          <w:rFonts w:hint="eastAsia" w:ascii="Times New Roman" w:hAnsi="Times New Roman"/>
          <w:sz w:val="28"/>
        </w:rPr>
        <w:t>，资产</w:t>
      </w:r>
      <w:r>
        <w:rPr>
          <w:rFonts w:hint="eastAsia" w:ascii="Times New Roman" w:hAnsi="Times New Roman"/>
          <w:sz w:val="28"/>
          <w:lang w:val="en-US" w:eastAsia="zh-CN"/>
        </w:rPr>
        <w:t>的</w:t>
      </w:r>
      <w:r>
        <w:rPr>
          <w:rFonts w:hint="eastAsia" w:ascii="Times New Roman" w:hAnsi="Times New Roman"/>
          <w:sz w:val="28"/>
        </w:rPr>
        <w:t>配置和自身职能密切相关，固定资产保存完好、使用正常。得4分。</w:t>
      </w:r>
    </w:p>
    <w:p>
      <w:pPr>
        <w:ind w:firstLine="560" w:firstLineChars="200"/>
        <w:rPr>
          <w:rFonts w:ascii="Times New Roman" w:hAnsi="Times New Roman"/>
          <w:sz w:val="28"/>
        </w:rPr>
      </w:pPr>
      <w:r>
        <w:rPr>
          <w:rFonts w:hint="eastAsia" w:ascii="Times New Roman" w:hAnsi="Times New Roman"/>
          <w:sz w:val="28"/>
        </w:rPr>
        <w:t>20、固定资产利用率：</w:t>
      </w:r>
      <w:r>
        <w:rPr>
          <w:rFonts w:hint="eastAsia" w:ascii="Times New Roman" w:hAnsi="Times New Roman"/>
          <w:sz w:val="28"/>
          <w:lang w:val="en-US" w:eastAsia="zh-CN"/>
        </w:rPr>
        <w:t>本年新增资产为治超动态检测监控卡点建设工程款，本年未处置资产。现有资产中，</w:t>
      </w:r>
      <w:r>
        <w:rPr>
          <w:rFonts w:hint="eastAsia" w:ascii="Times New Roman" w:hAnsi="Times New Roman"/>
          <w:sz w:val="28"/>
        </w:rPr>
        <w:t>视频监控设备96%、执法车辆1台，占2%。抽盘固定资产，保存完好、使用正常</w:t>
      </w:r>
      <w:r>
        <w:rPr>
          <w:rFonts w:hint="eastAsia" w:ascii="Times New Roman" w:hAnsi="Times New Roman"/>
          <w:sz w:val="28"/>
          <w:lang w:eastAsia="zh-CN"/>
        </w:rPr>
        <w:t>，</w:t>
      </w:r>
      <w:r>
        <w:rPr>
          <w:rFonts w:hint="eastAsia" w:ascii="Times New Roman" w:hAnsi="Times New Roman"/>
          <w:sz w:val="28"/>
        </w:rPr>
        <w:t>固定资产利用率100%，得2分。</w:t>
      </w:r>
    </w:p>
    <w:p>
      <w:pPr>
        <w:ind w:firstLine="560" w:firstLineChars="200"/>
        <w:rPr>
          <w:rFonts w:hint="eastAsia" w:ascii="Times New Roman" w:hAnsi="Times New Roman"/>
          <w:sz w:val="28"/>
          <w:lang w:val="en-US" w:eastAsia="zh-CN"/>
        </w:rPr>
      </w:pPr>
      <w:r>
        <w:rPr>
          <w:rFonts w:hint="eastAsia" w:ascii="Times New Roman" w:hAnsi="Times New Roman"/>
          <w:sz w:val="28"/>
        </w:rPr>
        <w:t>21、工作任务完成率：</w:t>
      </w:r>
      <w:r>
        <w:rPr>
          <w:rFonts w:hint="eastAsia" w:ascii="Times New Roman" w:hAnsi="Times New Roman"/>
          <w:sz w:val="28"/>
          <w:lang w:val="en-US" w:eastAsia="zh-CN"/>
        </w:rPr>
        <w:t>1.非现场执法卡点信息化建设完成情况，S303时村卡点和Y038祁沟路卡点（现Y194）相继建成，2023年初试运行，累计建13个动态监控卡点；2.加强联合执法任务完成情况：由交通运输局、公安局牵头，抽调工作人员成联合执法队，严厉打击货车违法超限超载行为。深入开展非法违法道路运输行为集中整治“雷霆行动”、依法整治重型自卸货车非法改装行为专项行动、2022年春季治超执法专项行动、打击货运车辆抛洒扬尘行动等，全年全市共查处超限超载车辆1931辆，其中车货总重超过75吨或车货总重超过规定标准100%的车辆161辆，卸载货物37682.34吨，查处非法改装56辆，严格落实“一超四罚”，查处货源单位3户次，责令道路运输企业停业整顿5户次，吊销从业资格证93本，吊销车辆营运证124本。</w:t>
      </w:r>
    </w:p>
    <w:p>
      <w:pPr>
        <w:ind w:firstLine="560" w:firstLineChars="200"/>
        <w:rPr>
          <w:rFonts w:hint="eastAsia" w:ascii="Times New Roman" w:hAnsi="Times New Roman"/>
          <w:sz w:val="28"/>
        </w:rPr>
      </w:pPr>
      <w:r>
        <w:rPr>
          <w:rFonts w:hint="eastAsia" w:ascii="Times New Roman" w:hAnsi="Times New Roman"/>
          <w:sz w:val="28"/>
          <w:lang w:val="en-US" w:eastAsia="zh-CN"/>
        </w:rPr>
        <w:t>本项评价指标标准值10分，评价</w:t>
      </w:r>
      <w:r>
        <w:rPr>
          <w:rFonts w:hint="eastAsia" w:ascii="Times New Roman" w:hAnsi="Times New Roman"/>
          <w:sz w:val="28"/>
        </w:rPr>
        <w:t>得10分。</w:t>
      </w:r>
    </w:p>
    <w:p>
      <w:pPr>
        <w:ind w:firstLine="560" w:firstLineChars="200"/>
        <w:rPr>
          <w:rFonts w:ascii="Times New Roman" w:hAnsi="Times New Roman"/>
          <w:sz w:val="28"/>
        </w:rPr>
      </w:pPr>
      <w:r>
        <w:rPr>
          <w:rFonts w:hint="eastAsia" w:ascii="Times New Roman" w:hAnsi="Times New Roman"/>
          <w:sz w:val="28"/>
        </w:rPr>
        <w:t>22、项目完成情况：当年安排的</w:t>
      </w:r>
      <w:r>
        <w:rPr>
          <w:rFonts w:hint="eastAsia" w:ascii="Times New Roman" w:hAnsi="DJMRCP+FangSong_GB2312" w:cs="Times New Roman"/>
          <w:color w:val="000000"/>
          <w:sz w:val="28"/>
        </w:rPr>
        <w:t>交通运输物流与治超信息平台运维及治超工作经费项目</w:t>
      </w:r>
      <w:r>
        <w:rPr>
          <w:rFonts w:hint="eastAsia" w:ascii="Times New Roman" w:hAnsi="DJMRCP+FangSong_GB2312" w:cs="Times New Roman"/>
          <w:color w:val="000000"/>
          <w:sz w:val="28"/>
          <w:lang w:val="en-US" w:eastAsia="zh-CN"/>
        </w:rPr>
        <w:t>和动态监控点运维项目</w:t>
      </w:r>
      <w:r>
        <w:rPr>
          <w:rFonts w:hint="eastAsia" w:ascii="Times New Roman" w:hAnsi="Times New Roman"/>
          <w:sz w:val="28"/>
        </w:rPr>
        <w:t>在产出数量和质量、取得的效益和效果等方面符合预期，年度重大职责的履行情况良好，得8分。</w:t>
      </w:r>
    </w:p>
    <w:p>
      <w:pPr>
        <w:ind w:firstLine="560" w:firstLineChars="200"/>
        <w:rPr>
          <w:rFonts w:ascii="Times New Roman" w:hAnsi="Times New Roman"/>
          <w:sz w:val="28"/>
        </w:rPr>
      </w:pPr>
      <w:r>
        <w:rPr>
          <w:rFonts w:hint="eastAsia" w:ascii="Times New Roman" w:hAnsi="Times New Roman"/>
          <w:sz w:val="28"/>
        </w:rPr>
        <w:t>23、工作质量：设置12318热线，听取群众关于道路安全、超限超载、交通设施、工作人员服务态度的意见、建议和投诉。接电后，能够妥善处理，并及时答复群众；</w:t>
      </w:r>
      <w:r>
        <w:rPr>
          <w:rFonts w:hint="eastAsia" w:ascii="Times New Roman" w:hAnsi="Times New Roman"/>
          <w:sz w:val="28"/>
          <w:lang w:val="en-US" w:eastAsia="zh-CN"/>
        </w:rPr>
        <w:t>治超</w:t>
      </w:r>
      <w:r>
        <w:rPr>
          <w:rFonts w:hint="eastAsia" w:ascii="Times New Roman" w:hAnsi="Times New Roman"/>
          <w:sz w:val="28"/>
        </w:rPr>
        <w:t>监测点的启用及时公布公开，使公众充分知情</w:t>
      </w:r>
      <w:r>
        <w:rPr>
          <w:rFonts w:hint="eastAsia" w:ascii="Times New Roman" w:hAnsi="Times New Roman"/>
          <w:sz w:val="28"/>
          <w:lang w:eastAsia="zh-CN"/>
        </w:rPr>
        <w:t>；</w:t>
      </w:r>
      <w:r>
        <w:rPr>
          <w:rFonts w:hint="eastAsia" w:ascii="Times New Roman" w:hAnsi="Times New Roman"/>
          <w:sz w:val="28"/>
        </w:rPr>
        <w:t>公示严重违法超限超载运输失信当事人以警醒社会公众，充分认识违反交通安全的后果，</w:t>
      </w:r>
      <w:r>
        <w:rPr>
          <w:rFonts w:hint="eastAsia" w:ascii="Times New Roman" w:hAnsi="Times New Roman"/>
          <w:sz w:val="28"/>
          <w:lang w:val="en-US" w:eastAsia="zh-CN"/>
        </w:rPr>
        <w:t>充分履行自身职责、做好服务工作，</w:t>
      </w:r>
      <w:r>
        <w:rPr>
          <w:rFonts w:hint="eastAsia" w:ascii="Times New Roman" w:hAnsi="Times New Roman"/>
          <w:sz w:val="28"/>
        </w:rPr>
        <w:t>得7分。</w:t>
      </w:r>
    </w:p>
    <w:p>
      <w:pPr>
        <w:ind w:firstLine="560" w:firstLineChars="200"/>
        <w:rPr>
          <w:rFonts w:ascii="Times New Roman" w:hAnsi="Times New Roman"/>
          <w:sz w:val="28"/>
        </w:rPr>
      </w:pPr>
      <w:r>
        <w:rPr>
          <w:rFonts w:hint="eastAsia" w:ascii="Times New Roman" w:hAnsi="Times New Roman"/>
          <w:sz w:val="28"/>
        </w:rPr>
        <w:t>24、重点工作完成情况：能够按时保质保量完成党委、政府、人大、相关部门交办或下达的工作任务，得到有关部门的认可，得4分。</w:t>
      </w:r>
    </w:p>
    <w:p>
      <w:pPr>
        <w:ind w:firstLine="560" w:firstLineChars="200"/>
        <w:rPr>
          <w:rFonts w:ascii="Times New Roman" w:hAnsi="Times New Roman" w:cs="Times New Roman"/>
          <w:sz w:val="28"/>
          <w:szCs w:val="28"/>
        </w:rPr>
      </w:pPr>
      <w:r>
        <w:rPr>
          <w:rFonts w:hint="eastAsia" w:ascii="Times New Roman" w:hAnsi="Times New Roman"/>
          <w:sz w:val="28"/>
        </w:rPr>
        <w:t>25、</w:t>
      </w:r>
      <w:r>
        <w:rPr>
          <w:rFonts w:hint="eastAsia" w:ascii="Times New Roman" w:hAnsi="Times New Roman" w:cs="Times New Roman"/>
          <w:sz w:val="28"/>
          <w:szCs w:val="28"/>
        </w:rPr>
        <w:t>经济效益：通过履职效能，超限超载率长期维持较低水平，超限超载货运车辆出场率0.</w:t>
      </w:r>
      <w:r>
        <w:rPr>
          <w:rFonts w:hint="eastAsia" w:ascii="Times New Roman" w:hAnsi="Times New Roman" w:cs="Times New Roman"/>
          <w:sz w:val="28"/>
          <w:szCs w:val="28"/>
          <w:lang w:val="en-US" w:eastAsia="zh-CN"/>
        </w:rPr>
        <w:t>22</w:t>
      </w:r>
      <w:r>
        <w:rPr>
          <w:rFonts w:hint="eastAsia" w:ascii="Times New Roman" w:hAnsi="Times New Roman" w:cs="Times New Roman"/>
          <w:sz w:val="28"/>
          <w:szCs w:val="28"/>
        </w:rPr>
        <w:t>%，减少</w:t>
      </w:r>
      <w:r>
        <w:rPr>
          <w:rFonts w:hint="eastAsia" w:ascii="Times New Roman" w:hAnsi="Times New Roman" w:cs="Times New Roman"/>
          <w:sz w:val="28"/>
          <w:szCs w:val="28"/>
          <w:lang w:val="en-US" w:eastAsia="zh-CN"/>
        </w:rPr>
        <w:t>了对路面的破坏</w:t>
      </w:r>
      <w:r>
        <w:rPr>
          <w:rFonts w:hint="eastAsia" w:ascii="Times New Roman" w:hAnsi="Times New Roman" w:cs="Times New Roman"/>
          <w:sz w:val="28"/>
          <w:szCs w:val="28"/>
        </w:rPr>
        <w:t>，节省了道路维修养护费用，大大降低交通安全事故的发生，极大地减少了超限超载交通事故造成的经济损失，得4分。</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26、社会效益：通过多年持续的超限超载治理，超限超载现象逐年减少，驾乘人员安全意识增强，抵制超限超载的社会氛围浓厚，社会效益显著，得6分。</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27、生态效益：路面破损率逐年降低，车辆扬尘减少，路面整洁，进一步加强了交通建设项目的污染防治和生态环境保护，提升了交通运输服务能力和水平，得5分。</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28、满意度指标：经对司乘人员和居民问卷，均对超限超载治理工作表示满意，满意度95%，低于100%的目标值5个百分点，得5分，扣1分。                                     </w:t>
      </w:r>
    </w:p>
    <w:p>
      <w:pPr>
        <w:ind w:firstLine="602" w:firstLineChars="200"/>
        <w:rPr>
          <w:rFonts w:ascii="Times New Roman" w:hAnsi="Times New Roman"/>
          <w:b/>
          <w:sz w:val="30"/>
          <w:szCs w:val="30"/>
        </w:rPr>
      </w:pPr>
      <w:r>
        <w:rPr>
          <w:rFonts w:hint="eastAsia" w:ascii="Times New Roman" w:hAnsi="Times New Roman"/>
          <w:b/>
          <w:sz w:val="30"/>
          <w:szCs w:val="30"/>
        </w:rPr>
        <w:t>四、问题与建议</w:t>
      </w:r>
    </w:p>
    <w:p>
      <w:pPr>
        <w:ind w:firstLine="560" w:firstLineChars="200"/>
        <w:rPr>
          <w:rFonts w:ascii="Times New Roman" w:hAnsi="Times New Roman"/>
          <w:sz w:val="28"/>
        </w:rPr>
      </w:pPr>
      <w:r>
        <w:rPr>
          <w:rFonts w:hint="eastAsia" w:ascii="Times New Roman" w:hAnsi="Times New Roman"/>
          <w:sz w:val="28"/>
        </w:rPr>
        <w:t>1、合理确定绩效目标，完善绩效指标设计</w:t>
      </w:r>
    </w:p>
    <w:p>
      <w:pPr>
        <w:ind w:firstLine="560" w:firstLineChars="200"/>
        <w:rPr>
          <w:rFonts w:hint="eastAsia" w:ascii="Times New Roman" w:hAnsi="DJMRCP+FangSong_GB2312" w:cs="Times New Roman"/>
          <w:color w:val="000000"/>
          <w:sz w:val="28"/>
        </w:rPr>
      </w:pPr>
      <w:r>
        <w:rPr>
          <w:rFonts w:hint="eastAsia" w:ascii="Times New Roman" w:hAnsi="DJMRCP+FangSong_GB2312" w:cs="Times New Roman"/>
          <w:color w:val="000000"/>
          <w:sz w:val="28"/>
        </w:rPr>
        <w:t>一是结合部门中长期规划和年度工作计划，明确年度主要工作任务，预计部门在年度内履职所要达到的总体产出和效益，将其确定为部门总体目标。二是依据部门整体绩效目标，结合部门的各项具体职责，分解为具体明确的工作任务，确定每项工作任务预计要达到的产出和效益，从中概括、提炼出最能反映工作任务预期实现程度的关键性指标，并将其确定为相应的绩效指标。三是通过分析相关基础数据，明确指标值确定依据，并结合年度预算安排等情况，确定绩效指标的具体目标数值。</w:t>
      </w:r>
    </w:p>
    <w:p>
      <w:pPr>
        <w:spacing w:line="606" w:lineRule="exact"/>
        <w:ind w:firstLine="552"/>
        <w:rPr>
          <w:rFonts w:ascii="Times New Roman" w:hAnsi="Times New Roman" w:cs="Times New Roman"/>
          <w:sz w:val="28"/>
          <w:szCs w:val="28"/>
        </w:rPr>
      </w:pPr>
      <w:r>
        <w:rPr>
          <w:rFonts w:ascii="Times New Roman" w:hAnsi="Times New Roman" w:cs="Times New Roman"/>
          <w:sz w:val="28"/>
          <w:szCs w:val="28"/>
        </w:rPr>
        <w:t>2、做好绩效自评价工作，妥善保存自评资料</w:t>
      </w:r>
    </w:p>
    <w:p>
      <w:pPr>
        <w:spacing w:line="606" w:lineRule="exact"/>
        <w:ind w:firstLine="552"/>
        <w:rPr>
          <w:rFonts w:ascii="Times New Roman" w:hAnsi="Times New Roman" w:cs="Times New Roman"/>
          <w:sz w:val="28"/>
          <w:szCs w:val="28"/>
        </w:rPr>
      </w:pPr>
      <w:r>
        <w:rPr>
          <w:rFonts w:ascii="Times New Roman" w:cs="Times New Roman"/>
          <w:sz w:val="28"/>
          <w:szCs w:val="28"/>
        </w:rPr>
        <w:t>建议对项目进行一次自评，对其中的定性指标尤其是经济效益、社会效益、生态效益和持续影响力指标的完成情况，评价资料整理成册、妥善保存，供相关部门和机构监督、评审时参考使用。</w:t>
      </w:r>
    </w:p>
    <w:p>
      <w:pPr>
        <w:rPr>
          <w:rFonts w:ascii="Times New Roman" w:hAnsi="Times New Roman"/>
          <w:sz w:val="28"/>
        </w:rPr>
      </w:pPr>
      <w:r>
        <w:rPr>
          <w:rFonts w:hint="eastAsia" w:ascii="Times New Roman" w:hAnsi="Times New Roman"/>
          <w:sz w:val="28"/>
        </w:rPr>
        <w:t xml:space="preserve">   </w:t>
      </w:r>
    </w:p>
    <w:p>
      <w:pPr>
        <w:ind w:firstLine="280" w:firstLineChars="100"/>
        <w:rPr>
          <w:rFonts w:ascii="Times New Roman" w:hAnsi="Times New Roman"/>
          <w:b/>
          <w:sz w:val="28"/>
        </w:rPr>
      </w:pPr>
      <w:r>
        <w:rPr>
          <w:rFonts w:hint="eastAsia" w:ascii="Times New Roman" w:hAnsi="Times New Roman"/>
          <w:sz w:val="28"/>
        </w:rPr>
        <w:t xml:space="preserve"> </w:t>
      </w:r>
      <w:r>
        <w:rPr>
          <w:rFonts w:hint="eastAsia" w:ascii="Times New Roman" w:hAnsi="Times New Roman"/>
          <w:b/>
          <w:sz w:val="28"/>
        </w:rPr>
        <w:t>附表：宿州市治理超限超载管理处202</w:t>
      </w:r>
      <w:r>
        <w:rPr>
          <w:rFonts w:hint="eastAsia" w:ascii="Times New Roman" w:hAnsi="Times New Roman"/>
          <w:b/>
          <w:sz w:val="28"/>
          <w:lang w:val="en-US" w:eastAsia="zh-CN"/>
        </w:rPr>
        <w:t>2</w:t>
      </w:r>
      <w:r>
        <w:rPr>
          <w:rFonts w:hint="eastAsia" w:ascii="Times New Roman" w:hAnsi="Times New Roman"/>
          <w:b/>
          <w:sz w:val="28"/>
        </w:rPr>
        <w:t>年单位整体支出绩效评价评分表</w:t>
      </w:r>
    </w:p>
    <w:p>
      <w:pPr>
        <w:rPr>
          <w:rFonts w:ascii="Times New Roman" w:hAnsi="Times New Roman"/>
          <w:sz w:val="28"/>
        </w:rPr>
      </w:pPr>
    </w:p>
    <w:p>
      <w:pPr>
        <w:rPr>
          <w:rFonts w:ascii="Times New Roman" w:hAnsi="Times New Roman"/>
          <w:sz w:val="28"/>
        </w:rPr>
      </w:pPr>
      <w:r>
        <w:rPr>
          <w:rFonts w:hint="eastAsia" w:ascii="Times New Roman" w:hAnsi="Times New Roman"/>
          <w:sz w:val="28"/>
        </w:rPr>
        <w:t>安徽同信会计师事务所（普通合伙）        中国注册会计师：</w:t>
      </w:r>
    </w:p>
    <w:p>
      <w:pPr>
        <w:rPr>
          <w:rFonts w:ascii="Times New Roman" w:hAnsi="Times New Roman"/>
          <w:sz w:val="28"/>
        </w:rPr>
      </w:pPr>
    </w:p>
    <w:p>
      <w:pPr>
        <w:tabs>
          <w:tab w:val="left" w:pos="740"/>
        </w:tabs>
        <w:rPr>
          <w:rFonts w:ascii="Times New Roman" w:hAnsi="Times New Roman"/>
          <w:sz w:val="28"/>
        </w:rPr>
      </w:pPr>
      <w:r>
        <w:rPr>
          <w:rFonts w:ascii="Times New Roman" w:hAnsi="Times New Roman"/>
          <w:sz w:val="28"/>
        </w:rPr>
        <w:tab/>
      </w:r>
      <w:r>
        <w:rPr>
          <w:rFonts w:ascii="Times New Roman" w:hAnsi="Times New Roman"/>
          <w:sz w:val="28"/>
        </w:rPr>
        <w:t>安徽</w:t>
      </w:r>
      <w:r>
        <w:rPr>
          <w:rFonts w:hint="eastAsia" w:ascii="Times New Roman" w:hAnsi="Times New Roman"/>
          <w:sz w:val="28"/>
        </w:rPr>
        <w:t xml:space="preserve">    宿州                       中国注册会计师：</w:t>
      </w:r>
    </w:p>
    <w:p>
      <w:pPr>
        <w:tabs>
          <w:tab w:val="left" w:pos="740"/>
        </w:tabs>
        <w:rPr>
          <w:rFonts w:ascii="Times New Roman" w:hAnsi="Times New Roman"/>
          <w:sz w:val="28"/>
        </w:rPr>
      </w:pPr>
      <w:r>
        <w:rPr>
          <w:rFonts w:hint="eastAsia" w:ascii="Times New Roman" w:hAnsi="Times New Roman"/>
          <w:sz w:val="28"/>
        </w:rPr>
        <w:t xml:space="preserve">                                         202</w:t>
      </w:r>
      <w:r>
        <w:rPr>
          <w:rFonts w:hint="eastAsia" w:ascii="Times New Roman" w:hAnsi="Times New Roman"/>
          <w:sz w:val="28"/>
          <w:lang w:val="en-US" w:eastAsia="zh-CN"/>
        </w:rPr>
        <w:t>3</w:t>
      </w:r>
      <w:r>
        <w:rPr>
          <w:rFonts w:hint="eastAsia" w:ascii="Times New Roman" w:hAnsi="Times New Roman"/>
          <w:sz w:val="28"/>
        </w:rPr>
        <w:t>年</w:t>
      </w:r>
      <w:r>
        <w:rPr>
          <w:rFonts w:hint="eastAsia" w:ascii="Times New Roman" w:hAnsi="Times New Roman"/>
          <w:sz w:val="28"/>
          <w:lang w:val="en-US" w:eastAsia="zh-CN"/>
        </w:rPr>
        <w:t>4</w:t>
      </w:r>
      <w:r>
        <w:rPr>
          <w:rFonts w:hint="eastAsia" w:ascii="Times New Roman" w:hAnsi="Times New Roman"/>
          <w:sz w:val="28"/>
        </w:rPr>
        <w:t>月</w:t>
      </w:r>
      <w:r>
        <w:rPr>
          <w:rFonts w:hint="eastAsia" w:ascii="Times New Roman" w:hAnsi="Times New Roman"/>
          <w:sz w:val="28"/>
          <w:lang w:val="en-US" w:eastAsia="zh-CN"/>
        </w:rPr>
        <w:t>10</w:t>
      </w:r>
      <w:r>
        <w:rPr>
          <w:rFonts w:hint="eastAsia" w:ascii="Times New Roman" w:hAnsi="Times New Roman"/>
          <w:sz w:val="28"/>
        </w:rPr>
        <w:t>日</w:t>
      </w:r>
    </w:p>
    <w:sectPr>
      <w:headerReference r:id="rId6" w:type="default"/>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DJMRCP+FangSong_GB2312">
    <w:altName w:val="Segoe UI Historic"/>
    <w:panose1 w:val="00000000000000000000"/>
    <w:charset w:val="01"/>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Historic">
    <w:panose1 w:val="020B0502040204020203"/>
    <w:charset w:val="01"/>
    <w:family w:val="auto"/>
    <w:pitch w:val="default"/>
    <w:sig w:usb0="800001EF" w:usb1="02000002" w:usb2="0060C08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Quad Arrow 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11221950">
    <w:nsid w:val="77E0CFBE"/>
    <w:multiLevelType w:val="singleLevel"/>
    <w:tmpl w:val="77E0CFBE"/>
    <w:lvl w:ilvl="0" w:tentative="1">
      <w:start w:val="4"/>
      <w:numFmt w:val="decimal"/>
      <w:suff w:val="nothing"/>
      <w:lvlText w:val="%1、"/>
      <w:lvlJc w:val="left"/>
    </w:lvl>
  </w:abstractNum>
  <w:abstractNum w:abstractNumId="1220018873">
    <w:nsid w:val="48B802B9"/>
    <w:multiLevelType w:val="multilevel"/>
    <w:tmpl w:val="48B802B9"/>
    <w:lvl w:ilvl="0" w:tentative="1">
      <w:start w:val="3"/>
      <w:numFmt w:val="japaneseCounting"/>
      <w:lvlText w:val="%1、"/>
      <w:lvlJc w:val="left"/>
      <w:pPr>
        <w:ind w:left="1430" w:hanging="720"/>
      </w:pPr>
      <w:rPr>
        <w:rFonts w:hint="default"/>
      </w:rPr>
    </w:lvl>
    <w:lvl w:ilvl="1" w:tentative="1">
      <w:start w:val="3"/>
      <w:numFmt w:val="japaneseCounting"/>
      <w:lvlText w:val="%2．"/>
      <w:lvlJc w:val="left"/>
      <w:pPr>
        <w:ind w:left="1850" w:hanging="720"/>
      </w:pPr>
      <w:rPr>
        <w:rFonts w:hint="default"/>
      </w:rPr>
    </w:lvl>
    <w:lvl w:ilvl="2" w:tentative="1">
      <w:start w:val="1"/>
      <w:numFmt w:val="lowerRoman"/>
      <w:lvlText w:val="%3."/>
      <w:lvlJc w:val="right"/>
      <w:pPr>
        <w:ind w:left="1970" w:hanging="420"/>
      </w:pPr>
    </w:lvl>
    <w:lvl w:ilvl="3" w:tentative="1">
      <w:start w:val="1"/>
      <w:numFmt w:val="decimal"/>
      <w:lvlText w:val="%4."/>
      <w:lvlJc w:val="left"/>
      <w:pPr>
        <w:ind w:left="2390" w:hanging="420"/>
      </w:pPr>
    </w:lvl>
    <w:lvl w:ilvl="4" w:tentative="1">
      <w:start w:val="1"/>
      <w:numFmt w:val="lowerLetter"/>
      <w:lvlText w:val="%5)"/>
      <w:lvlJc w:val="left"/>
      <w:pPr>
        <w:ind w:left="2810" w:hanging="420"/>
      </w:pPr>
    </w:lvl>
    <w:lvl w:ilvl="5" w:tentative="1">
      <w:start w:val="1"/>
      <w:numFmt w:val="lowerRoman"/>
      <w:lvlText w:val="%6."/>
      <w:lvlJc w:val="right"/>
      <w:pPr>
        <w:ind w:left="3230" w:hanging="420"/>
      </w:pPr>
    </w:lvl>
    <w:lvl w:ilvl="6" w:tentative="1">
      <w:start w:val="1"/>
      <w:numFmt w:val="decimal"/>
      <w:lvlText w:val="%7."/>
      <w:lvlJc w:val="left"/>
      <w:pPr>
        <w:ind w:left="3650" w:hanging="420"/>
      </w:pPr>
    </w:lvl>
    <w:lvl w:ilvl="7" w:tentative="1">
      <w:start w:val="1"/>
      <w:numFmt w:val="lowerLetter"/>
      <w:lvlText w:val="%8)"/>
      <w:lvlJc w:val="left"/>
      <w:pPr>
        <w:ind w:left="4070" w:hanging="420"/>
      </w:pPr>
    </w:lvl>
    <w:lvl w:ilvl="8" w:tentative="1">
      <w:start w:val="1"/>
      <w:numFmt w:val="lowerRoman"/>
      <w:lvlText w:val="%9."/>
      <w:lvlJc w:val="right"/>
      <w:pPr>
        <w:ind w:left="4490" w:hanging="420"/>
      </w:pPr>
    </w:lvl>
  </w:abstractNum>
  <w:num w:numId="1">
    <w:abstractNumId w:val="2011221950"/>
  </w:num>
  <w:num w:numId="2">
    <w:abstractNumId w:val="1220018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ody Text"/>
    <w:basedOn w:val="1"/>
    <w:link w:val="13"/>
    <w:qFormat/>
    <w:uiPriority w:val="0"/>
    <w:rPr>
      <w:rFonts w:ascii="Times New Roman" w:hAnsi="Times New Roman" w:eastAsia="仿宋_GB2312" w:cs="Times New Roman"/>
      <w:sz w:val="32"/>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List Paragraph"/>
    <w:basedOn w:val="1"/>
    <w:qFormat/>
    <w:uiPriority w:val="34"/>
    <w:pPr>
      <w:ind w:firstLine="420" w:firstLineChars="200"/>
    </w:pPr>
  </w:style>
  <w:style w:type="paragraph" w:customStyle="1" w:styleId="10">
    <w:name w:val="No Spacing"/>
    <w:link w:val="14"/>
    <w:qFormat/>
    <w:uiPriority w:val="1"/>
    <w:rPr>
      <w:rFonts w:ascii="Calibri" w:hAnsi="Calibri" w:eastAsia="宋体" w:cs="黑体"/>
      <w:kern w:val="0"/>
      <w:sz w:val="22"/>
      <w:szCs w:val="22"/>
      <w:lang w:val="en-US" w:eastAsia="zh-CN" w:bidi="ar-SA"/>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3"/>
    <w:qFormat/>
    <w:uiPriority w:val="0"/>
    <w:rPr>
      <w:rFonts w:ascii="Times New Roman" w:hAnsi="Times New Roman" w:eastAsia="仿宋_GB2312" w:cs="Times New Roman"/>
      <w:sz w:val="32"/>
      <w:szCs w:val="24"/>
    </w:rPr>
  </w:style>
  <w:style w:type="character" w:customStyle="1" w:styleId="14">
    <w:name w:val="无间隔 Char"/>
    <w:basedOn w:val="8"/>
    <w:link w:val="10"/>
    <w:qFormat/>
    <w:uiPriority w:val="1"/>
    <w:rPr>
      <w:kern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6127</Words>
  <Characters>6450</Characters>
  <Lines>42</Lines>
  <Paragraphs>12</Paragraphs>
  <ScaleCrop>false</ScaleCrop>
  <LinksUpToDate>false</LinksUpToDate>
  <CharactersWithSpaces>0</CharactersWithSpaces>
  <Application>WPS Office 个人版_9.1.0.4693_{F1E327BC-269C-435d-A152-05C5408002CA}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2022-04-23T16:51:00Z</dcterms:created>
  <dc:creator>lenovo</dc:creator>
  <cp:lastModifiedBy>ll</cp:lastModifiedBy>
  <cp:lastPrinted>2023-04-11T08:41:15Z</cp:lastPrinted>
  <dcterms:modified xsi:type="dcterms:W3CDTF">2023-04-11T08:46:00Z</dcterms:modified>
  <dc:title>宿州市治理超限超载管理处2022年度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2052-9.1.0.4693</vt:lpwstr>
  </property>
  <property fmtid="{D5CDD505-2E9C-101B-9397-08002B2CF9AE}" pid="3" name="ICV">
    <vt:lpwstr>45BB242D2936447480333EFDCB92D3D5_12</vt:lpwstr>
  </property>
</Properties>
</file>